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F029" w14:textId="3D621DE4" w:rsidR="00C9550A" w:rsidRDefault="00060B35" w:rsidP="00060B35">
      <w:pPr>
        <w:spacing w:after="0"/>
        <w:jc w:val="center"/>
      </w:pPr>
      <w:r>
        <w:rPr>
          <w:noProof/>
        </w:rPr>
        <w:drawing>
          <wp:inline distT="0" distB="0" distL="0" distR="0" wp14:anchorId="78219349" wp14:editId="17DD1804">
            <wp:extent cx="3998180" cy="11334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099775" cy="1162277"/>
                    </a:xfrm>
                    <a:prstGeom prst="rect">
                      <a:avLst/>
                    </a:prstGeom>
                  </pic:spPr>
                </pic:pic>
              </a:graphicData>
            </a:graphic>
          </wp:inline>
        </w:drawing>
      </w:r>
    </w:p>
    <w:p w14:paraId="4ACD4B67" w14:textId="77777777" w:rsidR="00060B35" w:rsidRDefault="00060B35" w:rsidP="00060B35">
      <w:pPr>
        <w:spacing w:after="0"/>
        <w:jc w:val="center"/>
      </w:pPr>
    </w:p>
    <w:p w14:paraId="60534D1A" w14:textId="77777777" w:rsidR="00060B35" w:rsidRPr="00060B35" w:rsidRDefault="00060B35" w:rsidP="00060B35">
      <w:pPr>
        <w:spacing w:after="0" w:line="240" w:lineRule="auto"/>
        <w:jc w:val="both"/>
        <w:textAlignment w:val="baseline"/>
        <w:rPr>
          <w:rFonts w:ascii="Fave Script Bold Pro" w:eastAsia="Times New Roman" w:hAnsi="Fave Script Bold Pro" w:cs="Tahoma"/>
          <w:color w:val="000000"/>
          <w:sz w:val="38"/>
          <w:szCs w:val="38"/>
        </w:rPr>
      </w:pPr>
      <w:r w:rsidRPr="00060B35">
        <w:rPr>
          <w:rFonts w:ascii="Fave Script Bold Pro" w:eastAsia="Times New Roman" w:hAnsi="Fave Script Bold Pro" w:cs="Tahoma"/>
          <w:color w:val="000000"/>
          <w:sz w:val="38"/>
          <w:szCs w:val="38"/>
          <w:bdr w:val="none" w:sz="0" w:space="0" w:color="auto" w:frame="1"/>
        </w:rPr>
        <w:t>As a reconciling and healing presence, this church...strives to pioneer new ways of addressing emerging social problems and environmental degradation. This church has a responsibility...to advocate just and peaceful resolutions...  It should support institutions and policies that serve the common good and work with and learn from others in caring for and changing global society.</w:t>
      </w:r>
    </w:p>
    <w:p w14:paraId="76C1CE16" w14:textId="77777777" w:rsidR="00060B35" w:rsidRPr="00060B35" w:rsidRDefault="00060B35" w:rsidP="006A5975">
      <w:pPr>
        <w:spacing w:after="0" w:line="240" w:lineRule="auto"/>
        <w:jc w:val="right"/>
        <w:textAlignment w:val="baseline"/>
        <w:rPr>
          <w:rFonts w:ascii="Fave Script Bold Pro" w:eastAsia="Times New Roman" w:hAnsi="Fave Script Bold Pro" w:cs="Tahoma"/>
          <w:color w:val="000000"/>
          <w:sz w:val="30"/>
          <w:szCs w:val="30"/>
          <w:bdr w:val="none" w:sz="0" w:space="0" w:color="auto" w:frame="1"/>
        </w:rPr>
      </w:pPr>
      <w:r w:rsidRPr="00060B35">
        <w:rPr>
          <w:rFonts w:ascii="Fave Script Bold Pro" w:eastAsia="Times New Roman" w:hAnsi="Fave Script Bold Pro" w:cs="Tahoma"/>
          <w:color w:val="000000"/>
          <w:sz w:val="30"/>
          <w:szCs w:val="30"/>
          <w:bdr w:val="none" w:sz="0" w:space="0" w:color="auto" w:frame="1"/>
        </w:rPr>
        <w:t>- - From The Church in Society: A Lutheran Perspective (ELCA Social Statement)</w:t>
      </w:r>
    </w:p>
    <w:p w14:paraId="7E13A9ED" w14:textId="77777777" w:rsidR="00060B35" w:rsidRPr="00060B35" w:rsidRDefault="00060B35" w:rsidP="00060B35">
      <w:pPr>
        <w:spacing w:after="0" w:line="240" w:lineRule="auto"/>
        <w:jc w:val="both"/>
        <w:textAlignment w:val="baseline"/>
        <w:rPr>
          <w:rFonts w:ascii="Tahoma" w:eastAsia="Times New Roman" w:hAnsi="Tahoma" w:cs="Tahoma"/>
          <w:color w:val="000000"/>
          <w:sz w:val="20"/>
          <w:szCs w:val="20"/>
        </w:rPr>
      </w:pPr>
    </w:p>
    <w:p w14:paraId="040C1490" w14:textId="77777777" w:rsidR="00060B35" w:rsidRPr="00060B35" w:rsidRDefault="00060B35" w:rsidP="00060B35">
      <w:pPr>
        <w:spacing w:after="0" w:line="240" w:lineRule="auto"/>
        <w:jc w:val="both"/>
        <w:rPr>
          <w:rFonts w:ascii="Tahoma" w:eastAsia="Times New Roman" w:hAnsi="Tahoma" w:cs="Tahoma"/>
          <w:color w:val="000000"/>
          <w:sz w:val="20"/>
          <w:szCs w:val="20"/>
        </w:rPr>
      </w:pPr>
      <w:r w:rsidRPr="00060B35">
        <w:rPr>
          <w:rFonts w:ascii="Tahoma" w:eastAsia="Times New Roman" w:hAnsi="Tahoma" w:cs="Tahoma"/>
          <w:color w:val="000000"/>
          <w:sz w:val="20"/>
          <w:szCs w:val="20"/>
        </w:rPr>
        <w:t>-----------------------------------------------------------------------------------------------</w:t>
      </w:r>
    </w:p>
    <w:p w14:paraId="025C5B91" w14:textId="6563F700" w:rsidR="00060B35" w:rsidRPr="00060B35" w:rsidRDefault="00060B35" w:rsidP="00060B35">
      <w:pPr>
        <w:spacing w:after="0" w:line="240" w:lineRule="auto"/>
        <w:jc w:val="both"/>
        <w:rPr>
          <w:rFonts w:ascii="Tahoma" w:eastAsia="Times New Roman" w:hAnsi="Tahoma" w:cs="Tahoma"/>
          <w:color w:val="000000"/>
          <w:sz w:val="24"/>
          <w:szCs w:val="24"/>
        </w:rPr>
      </w:pPr>
      <w:r w:rsidRPr="00060B35">
        <w:rPr>
          <w:rFonts w:ascii="Tahoma" w:eastAsia="Times New Roman" w:hAnsi="Tahoma" w:cs="Tahoma"/>
          <w:color w:val="000000"/>
          <w:sz w:val="24"/>
          <w:szCs w:val="24"/>
          <w:bdr w:val="none" w:sz="0" w:space="0" w:color="auto" w:frame="1"/>
        </w:rPr>
        <w:t>In this Session Summary</w:t>
      </w:r>
      <w:r w:rsidRPr="00060B35">
        <w:rPr>
          <w:rFonts w:ascii="Tahoma" w:eastAsia="Times New Roman" w:hAnsi="Tahoma" w:cs="Tahoma"/>
          <w:color w:val="000000"/>
          <w:sz w:val="24"/>
          <w:szCs w:val="24"/>
          <w:bdr w:val="none" w:sz="0" w:space="0" w:color="auto" w:frame="1"/>
        </w:rPr>
        <w:t>…</w:t>
      </w:r>
    </w:p>
    <w:p w14:paraId="70966E37" w14:textId="77777777" w:rsidR="00060B35" w:rsidRDefault="00060B35" w:rsidP="00060B35">
      <w:pPr>
        <w:spacing w:after="0" w:line="240" w:lineRule="auto"/>
        <w:jc w:val="both"/>
        <w:rPr>
          <w:rFonts w:ascii="Tahoma" w:eastAsia="Times New Roman" w:hAnsi="Tahoma" w:cs="Tahoma"/>
          <w:b/>
          <w:bCs/>
          <w:color w:val="000000"/>
          <w:sz w:val="8"/>
          <w:szCs w:val="8"/>
          <w:bdr w:val="none" w:sz="0" w:space="0" w:color="auto" w:frame="1"/>
        </w:rPr>
      </w:pPr>
    </w:p>
    <w:p w14:paraId="4AA8B934" w14:textId="77777777" w:rsidR="00060B35" w:rsidRPr="00060B35" w:rsidRDefault="00060B35" w:rsidP="00060B35">
      <w:pPr>
        <w:spacing w:after="0" w:line="240" w:lineRule="auto"/>
        <w:jc w:val="both"/>
        <w:rPr>
          <w:rFonts w:ascii="Tahoma" w:eastAsia="Times New Roman" w:hAnsi="Tahoma" w:cs="Tahoma"/>
          <w:b/>
          <w:bCs/>
          <w:color w:val="000000"/>
          <w:sz w:val="8"/>
          <w:szCs w:val="8"/>
          <w:bdr w:val="none" w:sz="0" w:space="0" w:color="auto" w:frame="1"/>
        </w:rPr>
      </w:pPr>
    </w:p>
    <w:p w14:paraId="2C318A91" w14:textId="1FEA0A36" w:rsidR="00060B35" w:rsidRPr="00060B35" w:rsidRDefault="00060B35" w:rsidP="00060B35">
      <w:p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Affordable Housing</w:t>
      </w:r>
    </w:p>
    <w:p w14:paraId="039D9BB2" w14:textId="77777777" w:rsidR="00060B35" w:rsidRPr="00060B35" w:rsidRDefault="00060B35" w:rsidP="00060B35">
      <w:pPr>
        <w:numPr>
          <w:ilvl w:val="0"/>
          <w:numId w:val="1"/>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color w:val="000000"/>
          <w:sz w:val="20"/>
          <w:szCs w:val="20"/>
        </w:rPr>
        <w:t>Sacred Tiny Home Communities (Sacred Settlements)</w:t>
      </w:r>
    </w:p>
    <w:p w14:paraId="506ABCED" w14:textId="77777777" w:rsidR="00060B35" w:rsidRPr="00060B35" w:rsidRDefault="00060B35" w:rsidP="00060B35">
      <w:pPr>
        <w:numPr>
          <w:ilvl w:val="0"/>
          <w:numId w:val="1"/>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color w:val="000000"/>
          <w:sz w:val="20"/>
          <w:szCs w:val="20"/>
        </w:rPr>
        <w:t>Renter Reforms</w:t>
      </w:r>
    </w:p>
    <w:p w14:paraId="29DEB1F5" w14:textId="77777777" w:rsidR="00060B35" w:rsidRPr="00060B35" w:rsidRDefault="00060B35" w:rsidP="00060B35">
      <w:pPr>
        <w:numPr>
          <w:ilvl w:val="0"/>
          <w:numId w:val="1"/>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color w:val="000000"/>
          <w:sz w:val="20"/>
          <w:szCs w:val="20"/>
        </w:rPr>
        <w:t>Funding for the Housing Continuum – Housing Omnibus Bill</w:t>
      </w:r>
    </w:p>
    <w:p w14:paraId="5F5DC005" w14:textId="77777777" w:rsidR="00060B35" w:rsidRPr="00060B35" w:rsidRDefault="00060B35" w:rsidP="00060B35">
      <w:pPr>
        <w:numPr>
          <w:ilvl w:val="0"/>
          <w:numId w:val="1"/>
        </w:numPr>
        <w:spacing w:after="0" w:line="240" w:lineRule="auto"/>
        <w:rPr>
          <w:rFonts w:ascii="Tahoma" w:eastAsia="Times New Roman" w:hAnsi="Tahoma" w:cs="Tahoma"/>
          <w:color w:val="000000"/>
          <w:sz w:val="20"/>
          <w:szCs w:val="20"/>
        </w:rPr>
      </w:pPr>
      <w:r w:rsidRPr="00060B35">
        <w:rPr>
          <w:rFonts w:ascii="Tahoma" w:eastAsia="Times New Roman" w:hAnsi="Tahoma" w:cs="Tahoma"/>
          <w:color w:val="000000"/>
          <w:sz w:val="20"/>
          <w:szCs w:val="20"/>
        </w:rPr>
        <w:t>Funding for the Housing Continuum – Health &amp; Human Services Omnibus Bill (Homelessness &amp; Poverty Reduction Sections)</w:t>
      </w:r>
    </w:p>
    <w:p w14:paraId="1D832128" w14:textId="77777777" w:rsidR="00060B35" w:rsidRPr="00060B35" w:rsidRDefault="00060B35" w:rsidP="00060B35">
      <w:pPr>
        <w:spacing w:after="0" w:line="240" w:lineRule="auto"/>
        <w:jc w:val="both"/>
        <w:rPr>
          <w:rFonts w:ascii="Tahoma" w:eastAsia="Times New Roman" w:hAnsi="Tahoma" w:cs="Tahoma"/>
          <w:b/>
          <w:bCs/>
          <w:color w:val="000000"/>
          <w:sz w:val="8"/>
          <w:szCs w:val="8"/>
          <w:bdr w:val="none" w:sz="0" w:space="0" w:color="auto" w:frame="1"/>
        </w:rPr>
      </w:pPr>
    </w:p>
    <w:p w14:paraId="2A9C6C9D" w14:textId="560F2173" w:rsidR="00060B35" w:rsidRPr="00060B35" w:rsidRDefault="00060B35" w:rsidP="00060B35">
      <w:p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Clean Energy/Climate Crisis Mitigation</w:t>
      </w:r>
    </w:p>
    <w:p w14:paraId="4DFF92FC" w14:textId="77777777" w:rsidR="00060B35" w:rsidRPr="00060B35" w:rsidRDefault="00060B35" w:rsidP="00060B35">
      <w:pPr>
        <w:numPr>
          <w:ilvl w:val="0"/>
          <w:numId w:val="2"/>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color w:val="000000"/>
          <w:sz w:val="20"/>
          <w:szCs w:val="20"/>
          <w:bdr w:val="none" w:sz="0" w:space="0" w:color="auto" w:frame="1"/>
        </w:rPr>
        <w:t>Clean Energy Standard</w:t>
      </w:r>
    </w:p>
    <w:p w14:paraId="60B6A01E" w14:textId="77777777" w:rsidR="00060B35" w:rsidRPr="00060B35" w:rsidRDefault="00060B35" w:rsidP="00060B35">
      <w:pPr>
        <w:numPr>
          <w:ilvl w:val="0"/>
          <w:numId w:val="2"/>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color w:val="000000"/>
          <w:sz w:val="20"/>
          <w:szCs w:val="20"/>
        </w:rPr>
        <w:t>State Competitiveness Fund</w:t>
      </w:r>
    </w:p>
    <w:p w14:paraId="59297F2E" w14:textId="77777777" w:rsidR="00060B35" w:rsidRPr="00060B35" w:rsidRDefault="00060B35" w:rsidP="00060B35">
      <w:pPr>
        <w:numPr>
          <w:ilvl w:val="0"/>
          <w:numId w:val="2"/>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color w:val="000000"/>
          <w:sz w:val="20"/>
          <w:szCs w:val="20"/>
        </w:rPr>
        <w:t>Environment, Climate, Energy Omnibus</w:t>
      </w:r>
    </w:p>
    <w:p w14:paraId="2800F136" w14:textId="77777777" w:rsidR="00060B35" w:rsidRDefault="00060B35" w:rsidP="00060B35">
      <w:pPr>
        <w:numPr>
          <w:ilvl w:val="0"/>
          <w:numId w:val="2"/>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color w:val="000000"/>
          <w:sz w:val="20"/>
          <w:szCs w:val="20"/>
        </w:rPr>
        <w:t xml:space="preserve">Various Projects &amp; Programs (Ag, Buildings, Transportation, </w:t>
      </w:r>
      <w:proofErr w:type="spellStart"/>
      <w:r w:rsidRPr="00060B35">
        <w:rPr>
          <w:rFonts w:ascii="Tahoma" w:eastAsia="Times New Roman" w:hAnsi="Tahoma" w:cs="Tahoma"/>
          <w:color w:val="000000"/>
          <w:sz w:val="20"/>
          <w:szCs w:val="20"/>
        </w:rPr>
        <w:t>etc</w:t>
      </w:r>
      <w:proofErr w:type="spellEnd"/>
      <w:r w:rsidRPr="00060B35">
        <w:rPr>
          <w:rFonts w:ascii="Tahoma" w:eastAsia="Times New Roman" w:hAnsi="Tahoma" w:cs="Tahoma"/>
          <w:color w:val="000000"/>
          <w:sz w:val="20"/>
          <w:szCs w:val="20"/>
        </w:rPr>
        <w:t>)</w:t>
      </w:r>
    </w:p>
    <w:p w14:paraId="1056D007" w14:textId="77777777" w:rsidR="00060B35" w:rsidRPr="00060B35" w:rsidRDefault="00060B35" w:rsidP="00060B35">
      <w:pPr>
        <w:spacing w:after="0" w:line="240" w:lineRule="auto"/>
        <w:jc w:val="both"/>
        <w:rPr>
          <w:rFonts w:ascii="Tahoma" w:eastAsia="Times New Roman" w:hAnsi="Tahoma" w:cs="Tahoma"/>
          <w:color w:val="000000"/>
          <w:sz w:val="20"/>
          <w:szCs w:val="20"/>
        </w:rPr>
      </w:pPr>
    </w:p>
    <w:p w14:paraId="75BA30BA" w14:textId="4A9BAFFB" w:rsidR="00060B35" w:rsidRPr="00060B35" w:rsidRDefault="00060B35" w:rsidP="00060B35">
      <w:pPr>
        <w:spacing w:after="0" w:line="240" w:lineRule="auto"/>
        <w:jc w:val="both"/>
        <w:rPr>
          <w:rFonts w:ascii="Tahoma" w:eastAsia="Times New Roman" w:hAnsi="Tahoma" w:cs="Tahoma"/>
          <w:color w:val="000000"/>
          <w:sz w:val="20"/>
          <w:szCs w:val="20"/>
        </w:rPr>
      </w:pPr>
      <w:r w:rsidRPr="00060B35">
        <w:rPr>
          <w:rFonts w:ascii="Tahoma" w:eastAsia="Times New Roman" w:hAnsi="Tahoma" w:cs="Tahoma"/>
          <w:color w:val="000000"/>
          <w:sz w:val="20"/>
          <w:szCs w:val="20"/>
          <w:bdr w:val="none" w:sz="0" w:space="0" w:color="auto" w:frame="1"/>
        </w:rPr>
        <w:t>-----------------------------------------------------------------------------------------------</w:t>
      </w:r>
    </w:p>
    <w:p w14:paraId="45D83CD7" w14:textId="77777777" w:rsidR="00060B35" w:rsidRDefault="00060B35" w:rsidP="00060B35">
      <w:pPr>
        <w:spacing w:after="0" w:line="240" w:lineRule="auto"/>
        <w:jc w:val="both"/>
        <w:rPr>
          <w:rFonts w:ascii="Tahoma" w:eastAsia="Times New Roman" w:hAnsi="Tahoma" w:cs="Tahoma"/>
          <w:color w:val="000000"/>
          <w:sz w:val="20"/>
          <w:szCs w:val="20"/>
        </w:rPr>
      </w:pPr>
    </w:p>
    <w:p w14:paraId="49FA2E9F" w14:textId="77777777" w:rsidR="00060B35" w:rsidRPr="00060B35" w:rsidRDefault="00060B35" w:rsidP="00060B35">
      <w:pPr>
        <w:spacing w:after="0" w:line="240" w:lineRule="auto"/>
        <w:jc w:val="both"/>
        <w:rPr>
          <w:rFonts w:ascii="Tahoma" w:eastAsia="Times New Roman" w:hAnsi="Tahoma" w:cs="Tahoma"/>
          <w:color w:val="000000"/>
          <w:sz w:val="20"/>
          <w:szCs w:val="20"/>
        </w:rPr>
      </w:pPr>
    </w:p>
    <w:p w14:paraId="5B33442F" w14:textId="5BE17BCA" w:rsidR="00060B35" w:rsidRPr="00060B35" w:rsidRDefault="00060B35" w:rsidP="00060B35">
      <w:pPr>
        <w:spacing w:after="0" w:line="240" w:lineRule="auto"/>
        <w:jc w:val="center"/>
        <w:rPr>
          <w:rFonts w:ascii="Tahoma" w:eastAsia="Times New Roman" w:hAnsi="Tahoma" w:cs="Tahoma"/>
          <w:b/>
          <w:bCs/>
          <w:color w:val="000000"/>
          <w:sz w:val="36"/>
          <w:szCs w:val="36"/>
          <w:bdr w:val="none" w:sz="0" w:space="0" w:color="auto" w:frame="1"/>
        </w:rPr>
      </w:pPr>
      <w:r w:rsidRPr="00060B35">
        <w:rPr>
          <w:rFonts w:ascii="Tahoma" w:eastAsia="Times New Roman" w:hAnsi="Tahoma" w:cs="Tahoma"/>
          <w:b/>
          <w:bCs/>
          <w:color w:val="000000"/>
          <w:sz w:val="36"/>
          <w:szCs w:val="36"/>
          <w:bdr w:val="none" w:sz="0" w:space="0" w:color="auto" w:frame="1"/>
        </w:rPr>
        <w:t xml:space="preserve">SESSION SUMMARY </w:t>
      </w:r>
      <w:r w:rsidRPr="00060B35">
        <w:rPr>
          <w:rFonts w:ascii="Tahoma" w:eastAsia="Times New Roman" w:hAnsi="Tahoma" w:cs="Tahoma"/>
          <w:b/>
          <w:bCs/>
          <w:color w:val="000000"/>
          <w:sz w:val="36"/>
          <w:szCs w:val="36"/>
          <w:bdr w:val="none" w:sz="0" w:space="0" w:color="auto" w:frame="1"/>
        </w:rPr>
        <w:t>–</w:t>
      </w:r>
      <w:r w:rsidRPr="00060B35">
        <w:rPr>
          <w:rFonts w:ascii="Tahoma" w:eastAsia="Times New Roman" w:hAnsi="Tahoma" w:cs="Tahoma"/>
          <w:b/>
          <w:bCs/>
          <w:color w:val="000000"/>
          <w:sz w:val="36"/>
          <w:szCs w:val="36"/>
          <w:bdr w:val="none" w:sz="0" w:space="0" w:color="auto" w:frame="1"/>
        </w:rPr>
        <w:t xml:space="preserve"> 2023</w:t>
      </w:r>
    </w:p>
    <w:p w14:paraId="0F0282F1" w14:textId="77777777" w:rsidR="00060B35" w:rsidRPr="00060B35" w:rsidRDefault="00060B35" w:rsidP="00060B35">
      <w:pPr>
        <w:spacing w:after="0" w:line="240" w:lineRule="auto"/>
        <w:jc w:val="both"/>
        <w:rPr>
          <w:rFonts w:ascii="Tahoma" w:eastAsia="Times New Roman" w:hAnsi="Tahoma" w:cs="Tahoma"/>
          <w:color w:val="000000"/>
          <w:sz w:val="40"/>
          <w:szCs w:val="40"/>
        </w:rPr>
      </w:pPr>
    </w:p>
    <w:p w14:paraId="1950D12B" w14:textId="77777777" w:rsidR="00060B35" w:rsidRPr="00060B35" w:rsidRDefault="00060B35" w:rsidP="00060B35">
      <w:p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8"/>
          <w:szCs w:val="28"/>
          <w:bdr w:val="none" w:sz="0" w:space="0" w:color="auto" w:frame="1"/>
        </w:rPr>
        <w:t>Affordable Housing</w:t>
      </w:r>
    </w:p>
    <w:p w14:paraId="4C752581" w14:textId="77777777" w:rsidR="00060B35" w:rsidRPr="00060B35" w:rsidRDefault="00060B35" w:rsidP="00060B35">
      <w:pPr>
        <w:spacing w:after="0" w:line="240" w:lineRule="auto"/>
        <w:jc w:val="both"/>
        <w:rPr>
          <w:rFonts w:ascii="Tahoma" w:eastAsia="Times New Roman" w:hAnsi="Tahoma" w:cs="Tahoma"/>
          <w:color w:val="000000"/>
          <w:sz w:val="36"/>
          <w:szCs w:val="36"/>
        </w:rPr>
      </w:pPr>
    </w:p>
    <w:p w14:paraId="452C9942" w14:textId="77777777" w:rsidR="00060B35" w:rsidRDefault="00060B35" w:rsidP="00060B35">
      <w:p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4"/>
          <w:szCs w:val="24"/>
          <w:bdr w:val="none" w:sz="0" w:space="0" w:color="auto" w:frame="1"/>
        </w:rPr>
        <w:t>Sacred Tiny Home Communities (or Sacred Settlements):</w:t>
      </w:r>
      <w:r w:rsidRPr="00060B35">
        <w:rPr>
          <w:rFonts w:ascii="Tahoma" w:eastAsia="Times New Roman" w:hAnsi="Tahoma" w:cs="Tahoma"/>
          <w:color w:val="000000"/>
          <w:sz w:val="20"/>
          <w:szCs w:val="20"/>
        </w:rPr>
        <w:t> Communities of tiny homes on premises of places of worship with formerly homeless and “missioner” households. This was a key component of our advocacy this year.</w:t>
      </w:r>
    </w:p>
    <w:p w14:paraId="3990A1D8" w14:textId="77777777" w:rsidR="00060B35" w:rsidRPr="00060B35" w:rsidRDefault="00060B35" w:rsidP="00060B35">
      <w:pPr>
        <w:spacing w:after="0" w:line="240" w:lineRule="auto"/>
        <w:jc w:val="both"/>
        <w:rPr>
          <w:rFonts w:ascii="Tahoma" w:eastAsia="Times New Roman" w:hAnsi="Tahoma" w:cs="Tahoma"/>
          <w:color w:val="000000"/>
          <w:sz w:val="14"/>
          <w:szCs w:val="14"/>
        </w:rPr>
      </w:pPr>
    </w:p>
    <w:p w14:paraId="5B00592F" w14:textId="77777777" w:rsidR="00060B35" w:rsidRDefault="00060B35" w:rsidP="00060B35">
      <w:pPr>
        <w:numPr>
          <w:ilvl w:val="0"/>
          <w:numId w:val="3"/>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rPr>
        <w:t>Bill Passed/Signed into Law: </w:t>
      </w:r>
      <w:r w:rsidRPr="00060B35">
        <w:rPr>
          <w:rFonts w:ascii="Tahoma" w:eastAsia="Times New Roman" w:hAnsi="Tahoma" w:cs="Tahoma"/>
          <w:color w:val="000000"/>
          <w:sz w:val="20"/>
          <w:szCs w:val="20"/>
        </w:rPr>
        <w:t>New zoning goes into effect at the beginning of 2024 allowing churches and other places of worship to host tiny home communities. Cities or municipalities will not be able to “opt out” or ban the Sacred Settlements, and each community must have 33-40% of the residents as “Good Neighbors” or “missioners.”</w:t>
      </w:r>
    </w:p>
    <w:p w14:paraId="1D4D428B" w14:textId="77777777" w:rsidR="00060B35" w:rsidRPr="00060B35" w:rsidRDefault="00060B35" w:rsidP="00060B35">
      <w:pPr>
        <w:spacing w:after="0" w:line="240" w:lineRule="auto"/>
        <w:ind w:left="720"/>
        <w:jc w:val="both"/>
        <w:rPr>
          <w:rFonts w:ascii="Tahoma" w:eastAsia="Times New Roman" w:hAnsi="Tahoma" w:cs="Tahoma"/>
          <w:color w:val="000000"/>
          <w:sz w:val="8"/>
          <w:szCs w:val="8"/>
        </w:rPr>
      </w:pPr>
    </w:p>
    <w:p w14:paraId="376A429B" w14:textId="77777777" w:rsidR="00060B35" w:rsidRDefault="00060B35" w:rsidP="00060B35">
      <w:pPr>
        <w:numPr>
          <w:ilvl w:val="0"/>
          <w:numId w:val="3"/>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rPr>
        <w:t>Partnerships: </w:t>
      </w:r>
      <w:r w:rsidRPr="00060B35">
        <w:rPr>
          <w:rFonts w:ascii="Tahoma" w:eastAsia="Times New Roman" w:hAnsi="Tahoma" w:cs="Tahoma"/>
          <w:color w:val="000000"/>
          <w:sz w:val="20"/>
          <w:szCs w:val="20"/>
        </w:rPr>
        <w:t>It was fun working with the nonprofit, Settled, and the Joint Religious Legislative Coalition (JRLC). We look forward to continuing those partnerships.</w:t>
      </w:r>
    </w:p>
    <w:p w14:paraId="6CE6A13D" w14:textId="77777777" w:rsidR="00060B35" w:rsidRPr="00060B35" w:rsidRDefault="00060B35" w:rsidP="00060B35">
      <w:pPr>
        <w:spacing w:after="0" w:line="240" w:lineRule="auto"/>
        <w:ind w:left="720"/>
        <w:jc w:val="both"/>
        <w:rPr>
          <w:rFonts w:ascii="Tahoma" w:eastAsia="Times New Roman" w:hAnsi="Tahoma" w:cs="Tahoma"/>
          <w:color w:val="000000"/>
          <w:sz w:val="8"/>
          <w:szCs w:val="8"/>
        </w:rPr>
      </w:pPr>
    </w:p>
    <w:p w14:paraId="028A08AF" w14:textId="77777777" w:rsidR="00060B35" w:rsidRPr="00060B35" w:rsidRDefault="00060B35" w:rsidP="00060B35">
      <w:pPr>
        <w:numPr>
          <w:ilvl w:val="0"/>
          <w:numId w:val="3"/>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rPr>
        <w:t>What Next?</w:t>
      </w:r>
      <w:r w:rsidRPr="00060B35">
        <w:rPr>
          <w:rFonts w:ascii="Tahoma" w:eastAsia="Times New Roman" w:hAnsi="Tahoma" w:cs="Tahoma"/>
          <w:color w:val="000000"/>
          <w:sz w:val="20"/>
          <w:szCs w:val="20"/>
        </w:rPr>
        <w:t>  Some of you passed resolutions at Conference or Synod Assemblies, not just in support of the concept and the legislation, but also </w:t>
      </w:r>
      <w:r w:rsidRPr="00060B35">
        <w:rPr>
          <w:rFonts w:ascii="Tahoma" w:eastAsia="Times New Roman" w:hAnsi="Tahoma" w:cs="Tahoma"/>
          <w:b/>
          <w:bCs/>
          <w:color w:val="000000"/>
          <w:sz w:val="20"/>
          <w:szCs w:val="20"/>
        </w:rPr>
        <w:t>committing to work with and/or help support the Sacred Communities.</w:t>
      </w:r>
      <w:r w:rsidRPr="00060B35">
        <w:rPr>
          <w:rFonts w:ascii="Tahoma" w:eastAsia="Times New Roman" w:hAnsi="Tahoma" w:cs="Tahoma"/>
          <w:color w:val="000000"/>
          <w:sz w:val="20"/>
          <w:szCs w:val="20"/>
        </w:rPr>
        <w:t xml:space="preserve"> As a result of those efforts and our Lenten Letter Challenge which included this legislation, I’ve gotten lots of great questions about how to be involved. There are lots of options – Check out the resource I </w:t>
      </w:r>
      <w:r w:rsidRPr="00060B35">
        <w:rPr>
          <w:rFonts w:ascii="Tahoma" w:eastAsia="Times New Roman" w:hAnsi="Tahoma" w:cs="Tahoma"/>
          <w:color w:val="000000"/>
          <w:sz w:val="20"/>
          <w:szCs w:val="20"/>
        </w:rPr>
        <w:lastRenderedPageBreak/>
        <w:t xml:space="preserve">pulled together from </w:t>
      </w:r>
      <w:proofErr w:type="spellStart"/>
      <w:r w:rsidRPr="00060B35">
        <w:rPr>
          <w:rFonts w:ascii="Tahoma" w:eastAsia="Times New Roman" w:hAnsi="Tahoma" w:cs="Tahoma"/>
          <w:color w:val="000000"/>
          <w:sz w:val="20"/>
          <w:szCs w:val="20"/>
        </w:rPr>
        <w:t>Settled’s</w:t>
      </w:r>
      <w:proofErr w:type="spellEnd"/>
      <w:r w:rsidRPr="00060B35">
        <w:rPr>
          <w:rFonts w:ascii="Tahoma" w:eastAsia="Times New Roman" w:hAnsi="Tahoma" w:cs="Tahoma"/>
          <w:color w:val="000000"/>
          <w:sz w:val="20"/>
          <w:szCs w:val="20"/>
        </w:rPr>
        <w:t xml:space="preserve"> website &amp; JRLC interviews with someone from Settled &amp; Mosaic Christian Community which created the 1st settlement: It will soon be up at </w:t>
      </w:r>
      <w:hyperlink r:id="rId8" w:tgtFrame="_blank" w:history="1">
        <w:r w:rsidRPr="00060B35">
          <w:rPr>
            <w:rFonts w:ascii="Tahoma" w:eastAsia="Times New Roman" w:hAnsi="Tahoma" w:cs="Tahoma"/>
            <w:color w:val="0000FF"/>
            <w:sz w:val="20"/>
            <w:szCs w:val="20"/>
            <w:u w:val="single"/>
            <w:bdr w:val="none" w:sz="0" w:space="0" w:color="auto" w:frame="1"/>
          </w:rPr>
          <w:t>this link</w:t>
        </w:r>
      </w:hyperlink>
      <w:r w:rsidRPr="00060B35">
        <w:rPr>
          <w:rFonts w:ascii="Tahoma" w:eastAsia="Times New Roman" w:hAnsi="Tahoma" w:cs="Tahoma"/>
          <w:color w:val="000000"/>
          <w:sz w:val="20"/>
          <w:szCs w:val="20"/>
        </w:rPr>
        <w:t>.</w:t>
      </w:r>
    </w:p>
    <w:p w14:paraId="047BC2EC" w14:textId="77777777" w:rsidR="00060B35" w:rsidRPr="00060B35" w:rsidRDefault="00060B35" w:rsidP="00060B35">
      <w:pPr>
        <w:spacing w:after="0" w:line="240" w:lineRule="auto"/>
        <w:jc w:val="both"/>
        <w:rPr>
          <w:rFonts w:ascii="Tahoma" w:eastAsia="Times New Roman" w:hAnsi="Tahoma" w:cs="Tahoma"/>
          <w:color w:val="000000"/>
          <w:sz w:val="14"/>
          <w:szCs w:val="14"/>
        </w:rPr>
      </w:pPr>
      <w:r w:rsidRPr="00060B35">
        <w:rPr>
          <w:rFonts w:ascii="Tahoma" w:eastAsia="Times New Roman" w:hAnsi="Tahoma" w:cs="Tahoma"/>
          <w:b/>
          <w:bCs/>
          <w:color w:val="000000"/>
          <w:sz w:val="14"/>
          <w:szCs w:val="14"/>
          <w:bdr w:val="none" w:sz="0" w:space="0" w:color="auto" w:frame="1"/>
        </w:rPr>
        <w:br/>
      </w:r>
    </w:p>
    <w:p w14:paraId="1AF184B2" w14:textId="77777777" w:rsidR="00060B35" w:rsidRPr="00060B35" w:rsidRDefault="00060B35" w:rsidP="00060B35">
      <w:p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4"/>
          <w:szCs w:val="24"/>
          <w:bdr w:val="none" w:sz="0" w:space="0" w:color="auto" w:frame="1"/>
        </w:rPr>
        <w:t>Renter Reforms</w:t>
      </w:r>
      <w:r w:rsidRPr="00060B35">
        <w:rPr>
          <w:rFonts w:ascii="Tahoma" w:eastAsia="Times New Roman" w:hAnsi="Tahoma" w:cs="Tahoma"/>
          <w:color w:val="000000"/>
          <w:sz w:val="20"/>
          <w:szCs w:val="20"/>
          <w:bdr w:val="none" w:sz="0" w:space="0" w:color="auto" w:frame="1"/>
        </w:rPr>
        <w:t> (Part of Homes for All main agenda; Effort started in 2019 or 2020):</w:t>
      </w:r>
    </w:p>
    <w:p w14:paraId="65A5C328" w14:textId="77777777" w:rsidR="00060B35" w:rsidRPr="00060B35" w:rsidRDefault="00060B35" w:rsidP="00060B35">
      <w:pPr>
        <w:spacing w:after="0" w:line="240" w:lineRule="auto"/>
        <w:ind w:left="720"/>
        <w:jc w:val="both"/>
        <w:rPr>
          <w:rFonts w:ascii="Tahoma" w:eastAsia="Times New Roman" w:hAnsi="Tahoma" w:cs="Tahoma"/>
          <w:color w:val="000000"/>
          <w:sz w:val="14"/>
          <w:szCs w:val="14"/>
        </w:rPr>
      </w:pPr>
    </w:p>
    <w:p w14:paraId="3E7C6A89" w14:textId="1F4643DA" w:rsidR="00060B35" w:rsidRPr="00060B35" w:rsidRDefault="00060B35" w:rsidP="00060B35">
      <w:pPr>
        <w:numPr>
          <w:ilvl w:val="0"/>
          <w:numId w:val="4"/>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Passed Pre-Eviction Notice, Eviction Expungement &amp; Renter Records Protection: </w:t>
      </w:r>
      <w:r w:rsidRPr="00060B35">
        <w:rPr>
          <w:rFonts w:ascii="Tahoma" w:eastAsia="Times New Roman" w:hAnsi="Tahoma" w:cs="Tahoma"/>
          <w:color w:val="000000"/>
          <w:sz w:val="20"/>
          <w:szCs w:val="20"/>
          <w:bdr w:val="none" w:sz="0" w:space="0" w:color="auto" w:frame="1"/>
        </w:rPr>
        <w:t>Mandates a landlord provides 14-</w:t>
      </w:r>
      <w:proofErr w:type="spellStart"/>
      <w:r w:rsidRPr="00060B35">
        <w:rPr>
          <w:rFonts w:ascii="Tahoma" w:eastAsia="Times New Roman" w:hAnsi="Tahoma" w:cs="Tahoma"/>
          <w:color w:val="000000"/>
          <w:sz w:val="20"/>
          <w:szCs w:val="20"/>
          <w:bdr w:val="none" w:sz="0" w:space="0" w:color="auto" w:frame="1"/>
        </w:rPr>
        <w:t>days notice</w:t>
      </w:r>
      <w:proofErr w:type="spellEnd"/>
      <w:r w:rsidRPr="00060B35">
        <w:rPr>
          <w:rFonts w:ascii="Tahoma" w:eastAsia="Times New Roman" w:hAnsi="Tahoma" w:cs="Tahoma"/>
          <w:color w:val="000000"/>
          <w:sz w:val="20"/>
          <w:szCs w:val="20"/>
          <w:bdr w:val="none" w:sz="0" w:space="0" w:color="auto" w:frame="1"/>
        </w:rPr>
        <w:t xml:space="preserve"> before filing an eviction, evictions may be removed from a renter’s record after 3 years, &amp; an eviction filing may not show up on a renter’s record unless the court rules against them &amp; they are evicted.</w:t>
      </w:r>
    </w:p>
    <w:p w14:paraId="7A3A07B2" w14:textId="77777777" w:rsidR="00060B35" w:rsidRPr="00060B35" w:rsidRDefault="00060B35" w:rsidP="00060B35">
      <w:pPr>
        <w:spacing w:after="0" w:line="240" w:lineRule="auto"/>
        <w:ind w:left="720"/>
        <w:jc w:val="both"/>
        <w:rPr>
          <w:rFonts w:ascii="Tahoma" w:eastAsia="Times New Roman" w:hAnsi="Tahoma" w:cs="Tahoma"/>
          <w:color w:val="000000"/>
          <w:sz w:val="8"/>
          <w:szCs w:val="8"/>
        </w:rPr>
      </w:pPr>
    </w:p>
    <w:p w14:paraId="460FD81B" w14:textId="77777777" w:rsidR="00060B35" w:rsidRPr="00060B35" w:rsidRDefault="00060B35" w:rsidP="00060B35">
      <w:pPr>
        <w:numPr>
          <w:ilvl w:val="0"/>
          <w:numId w:val="4"/>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Did NOT Pass Source of Income Protection: </w:t>
      </w:r>
      <w:r w:rsidRPr="00060B35">
        <w:rPr>
          <w:rFonts w:ascii="Tahoma" w:eastAsia="Times New Roman" w:hAnsi="Tahoma" w:cs="Tahoma"/>
          <w:color w:val="000000"/>
          <w:sz w:val="20"/>
          <w:szCs w:val="20"/>
          <w:bdr w:val="none" w:sz="0" w:space="0" w:color="auto" w:frame="1"/>
        </w:rPr>
        <w:t>A landlord may still discriminate against renters if they are paying with a voucher (Unfortunately, there are renters who qualify for assistance that are returning payment vouchers because they can’t find landlords willing to accept them).</w:t>
      </w:r>
    </w:p>
    <w:p w14:paraId="68E26D28" w14:textId="77777777" w:rsidR="00060B35" w:rsidRPr="00060B35" w:rsidRDefault="00060B35" w:rsidP="00060B35">
      <w:pPr>
        <w:spacing w:after="0" w:line="240" w:lineRule="auto"/>
        <w:jc w:val="both"/>
        <w:rPr>
          <w:rFonts w:ascii="Tahoma" w:eastAsia="Times New Roman" w:hAnsi="Tahoma" w:cs="Tahoma"/>
          <w:color w:val="000000"/>
          <w:sz w:val="14"/>
          <w:szCs w:val="14"/>
        </w:rPr>
      </w:pPr>
      <w:r w:rsidRPr="00060B35">
        <w:rPr>
          <w:rFonts w:ascii="Tahoma" w:eastAsia="Times New Roman" w:hAnsi="Tahoma" w:cs="Tahoma"/>
          <w:b/>
          <w:bCs/>
          <w:color w:val="000000"/>
          <w:sz w:val="14"/>
          <w:szCs w:val="14"/>
          <w:bdr w:val="none" w:sz="0" w:space="0" w:color="auto" w:frame="1"/>
        </w:rPr>
        <w:br/>
      </w:r>
    </w:p>
    <w:p w14:paraId="51828035" w14:textId="77777777" w:rsidR="00060B35" w:rsidRDefault="00060B35" w:rsidP="00060B35">
      <w:pPr>
        <w:spacing w:after="0" w:line="240" w:lineRule="auto"/>
        <w:jc w:val="both"/>
        <w:rPr>
          <w:rFonts w:ascii="Tahoma" w:eastAsia="Times New Roman" w:hAnsi="Tahoma" w:cs="Tahoma"/>
          <w:color w:val="000000"/>
          <w:sz w:val="20"/>
          <w:szCs w:val="20"/>
          <w:bdr w:val="none" w:sz="0" w:space="0" w:color="auto" w:frame="1"/>
        </w:rPr>
      </w:pPr>
      <w:r w:rsidRPr="00060B35">
        <w:rPr>
          <w:rFonts w:ascii="Tahoma" w:eastAsia="Times New Roman" w:hAnsi="Tahoma" w:cs="Tahoma"/>
          <w:b/>
          <w:bCs/>
          <w:color w:val="000000"/>
          <w:sz w:val="24"/>
          <w:szCs w:val="24"/>
          <w:bdr w:val="none" w:sz="0" w:space="0" w:color="auto" w:frame="1"/>
        </w:rPr>
        <w:t>Funding for the Housing Continuum – Housing Omnibus Bill:</w:t>
      </w:r>
      <w:r w:rsidRPr="00060B35">
        <w:rPr>
          <w:rFonts w:ascii="Tahoma" w:eastAsia="Times New Roman" w:hAnsi="Tahoma" w:cs="Tahoma"/>
          <w:color w:val="000000"/>
          <w:sz w:val="20"/>
          <w:szCs w:val="20"/>
          <w:bdr w:val="none" w:sz="0" w:space="0" w:color="auto" w:frame="1"/>
        </w:rPr>
        <w:t> Lutheran Advocacy-MN focused on big-picture funding/investments, as the Homes for All Coalition’s 2023 Agenda was long, detailed, and complicated. We are pleased so many Homes for All priorities were addressed, and that our big-picture advocacy helped secure bipartisan support for the original Senate Housing bill!</w:t>
      </w:r>
    </w:p>
    <w:p w14:paraId="02BBFD6E" w14:textId="77777777" w:rsidR="00060B35" w:rsidRPr="00060B35" w:rsidRDefault="00060B35" w:rsidP="00060B35">
      <w:pPr>
        <w:spacing w:after="0" w:line="240" w:lineRule="auto"/>
        <w:jc w:val="both"/>
        <w:rPr>
          <w:rFonts w:ascii="Tahoma" w:eastAsia="Times New Roman" w:hAnsi="Tahoma" w:cs="Tahoma"/>
          <w:color w:val="000000"/>
          <w:sz w:val="14"/>
          <w:szCs w:val="14"/>
        </w:rPr>
      </w:pPr>
    </w:p>
    <w:p w14:paraId="167D4194" w14:textId="77777777" w:rsidR="00060B35" w:rsidRPr="00060B35" w:rsidRDefault="00060B35" w:rsidP="00060B35">
      <w:pPr>
        <w:numPr>
          <w:ilvl w:val="0"/>
          <w:numId w:val="5"/>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More Than $1 Billion Passed</w:t>
      </w:r>
      <w:r w:rsidRPr="00060B35">
        <w:rPr>
          <w:rFonts w:ascii="Tahoma" w:eastAsia="Times New Roman" w:hAnsi="Tahoma" w:cs="Tahoma"/>
          <w:color w:val="000000"/>
          <w:sz w:val="20"/>
          <w:szCs w:val="20"/>
          <w:bdr w:val="none" w:sz="0" w:space="0" w:color="auto" w:frame="1"/>
        </w:rPr>
        <w:t> – For the Minnesota Housing Finance Agency for </w:t>
      </w:r>
      <w:r w:rsidRPr="00060B35">
        <w:rPr>
          <w:rFonts w:ascii="Tahoma" w:eastAsia="Times New Roman" w:hAnsi="Tahoma" w:cs="Tahoma"/>
          <w:b/>
          <w:bCs/>
          <w:i/>
          <w:iCs/>
          <w:color w:val="000000"/>
          <w:sz w:val="20"/>
          <w:szCs w:val="20"/>
          <w:bdr w:val="none" w:sz="0" w:space="0" w:color="auto" w:frame="1"/>
        </w:rPr>
        <w:t>ongoing programs, new construction, rehabilitation, preservation of existing Naturally Affordable Occurring Housing (NOAH – usually older buildings), the Family Homeless Prevention Assistance Program, &amp; downpayment assistance for low-income/BIPOC new homeowners.</w:t>
      </w:r>
      <w:r w:rsidRPr="00060B35">
        <w:rPr>
          <w:rFonts w:ascii="Tahoma" w:eastAsia="Times New Roman" w:hAnsi="Tahoma" w:cs="Tahoma"/>
          <w:color w:val="000000"/>
          <w:sz w:val="20"/>
          <w:szCs w:val="20"/>
          <w:bdr w:val="none" w:sz="0" w:space="0" w:color="auto" w:frame="1"/>
        </w:rPr>
        <w:t> Much of this was from the budget surplus for one-time cash infusions. Although this is an historic amount, it does not get us out of the hole with regards to our affordable housing crisis AND as mentioned before, much of it is a one-time infusion.</w:t>
      </w:r>
    </w:p>
    <w:p w14:paraId="2A94A807" w14:textId="77777777" w:rsidR="00060B35" w:rsidRPr="00060B35" w:rsidRDefault="00060B35" w:rsidP="00060B35">
      <w:pPr>
        <w:spacing w:after="0" w:line="240" w:lineRule="auto"/>
        <w:ind w:left="360"/>
        <w:jc w:val="both"/>
        <w:rPr>
          <w:rFonts w:ascii="Tahoma" w:eastAsia="Times New Roman" w:hAnsi="Tahoma" w:cs="Tahoma"/>
          <w:color w:val="000000"/>
          <w:sz w:val="8"/>
          <w:szCs w:val="8"/>
        </w:rPr>
      </w:pPr>
    </w:p>
    <w:p w14:paraId="5E4999D0" w14:textId="77777777" w:rsidR="00060B35" w:rsidRPr="00060B35" w:rsidRDefault="00060B35" w:rsidP="00060B35">
      <w:pPr>
        <w:numPr>
          <w:ilvl w:val="0"/>
          <w:numId w:val="5"/>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$5 million for Lead-Free Homes:</w:t>
      </w:r>
      <w:r w:rsidRPr="00060B35">
        <w:rPr>
          <w:rFonts w:ascii="Tahoma" w:eastAsia="Times New Roman" w:hAnsi="Tahoma" w:cs="Tahoma"/>
          <w:color w:val="000000"/>
          <w:sz w:val="20"/>
          <w:szCs w:val="20"/>
          <w:bdr w:val="none" w:sz="0" w:space="0" w:color="auto" w:frame="1"/>
        </w:rPr>
        <w:t> This will be a small grants program to do lead-remediation in low-income rental homes. This has been on our Homes for All agenda several years now, with Metropolitan Interfaith Coalition for Affordable Housing (MICAH) leading this effort. (See also replacement of lead drinking water pipes in Environmental bills below – a priority for many Minnesota Environmental Partnership members, including LA-MN, for several years).</w:t>
      </w:r>
    </w:p>
    <w:p w14:paraId="64596CC5" w14:textId="77777777" w:rsidR="00060B35" w:rsidRPr="00060B35" w:rsidRDefault="00060B35" w:rsidP="00060B35">
      <w:pPr>
        <w:spacing w:after="0" w:line="240" w:lineRule="auto"/>
        <w:ind w:left="720"/>
        <w:jc w:val="both"/>
        <w:rPr>
          <w:rFonts w:ascii="Tahoma" w:eastAsia="Times New Roman" w:hAnsi="Tahoma" w:cs="Tahoma"/>
          <w:color w:val="000000"/>
          <w:sz w:val="8"/>
          <w:szCs w:val="8"/>
        </w:rPr>
      </w:pPr>
    </w:p>
    <w:p w14:paraId="489EB29A" w14:textId="77777777" w:rsidR="00060B35" w:rsidRPr="00060B35" w:rsidRDefault="00060B35" w:rsidP="00060B35">
      <w:pPr>
        <w:numPr>
          <w:ilvl w:val="0"/>
          <w:numId w:val="5"/>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New Metro Area Sales Taxes for Affordable Housing</w:t>
      </w:r>
      <w:r w:rsidRPr="00060B35">
        <w:rPr>
          <w:rFonts w:ascii="Tahoma" w:eastAsia="Times New Roman" w:hAnsi="Tahoma" w:cs="Tahoma"/>
          <w:color w:val="000000"/>
          <w:sz w:val="20"/>
          <w:szCs w:val="20"/>
          <w:bdr w:val="none" w:sz="0" w:space="0" w:color="auto" w:frame="1"/>
        </w:rPr>
        <w:t> – This 0.25% sales tax came up toward the end of session &amp; was part of the original House bill. Its </w:t>
      </w:r>
      <w:r w:rsidRPr="00060B35">
        <w:rPr>
          <w:rFonts w:ascii="Tahoma" w:eastAsia="Times New Roman" w:hAnsi="Tahoma" w:cs="Tahoma"/>
          <w:b/>
          <w:bCs/>
          <w:i/>
          <w:iCs/>
          <w:color w:val="000000"/>
          <w:sz w:val="20"/>
          <w:szCs w:val="20"/>
          <w:bdr w:val="none" w:sz="0" w:space="0" w:color="auto" w:frame="1"/>
        </w:rPr>
        <w:t>inclusion in the Final Housing Omnibus cost us the bipartisan support</w:t>
      </w:r>
      <w:r w:rsidRPr="00060B35">
        <w:rPr>
          <w:rFonts w:ascii="Tahoma" w:eastAsia="Times New Roman" w:hAnsi="Tahoma" w:cs="Tahoma"/>
          <w:color w:val="000000"/>
          <w:sz w:val="20"/>
          <w:szCs w:val="20"/>
          <w:bdr w:val="none" w:sz="0" w:space="0" w:color="auto" w:frame="1"/>
        </w:rPr>
        <w:t> that we had worked hard to maintain on the Senate bill. </w:t>
      </w:r>
      <w:r w:rsidRPr="00060B35">
        <w:rPr>
          <w:rFonts w:ascii="Tahoma" w:eastAsia="Times New Roman" w:hAnsi="Tahoma" w:cs="Tahoma"/>
          <w:b/>
          <w:bCs/>
          <w:i/>
          <w:iCs/>
          <w:color w:val="000000"/>
          <w:sz w:val="20"/>
          <w:szCs w:val="20"/>
          <w:bdr w:val="none" w:sz="0" w:space="0" w:color="auto" w:frame="1"/>
        </w:rPr>
        <w:t>We did not support this tax</w:t>
      </w:r>
      <w:r w:rsidRPr="00060B35">
        <w:rPr>
          <w:rFonts w:ascii="Tahoma" w:eastAsia="Times New Roman" w:hAnsi="Tahoma" w:cs="Tahoma"/>
          <w:color w:val="000000"/>
          <w:sz w:val="20"/>
          <w:szCs w:val="20"/>
          <w:bdr w:val="none" w:sz="0" w:space="0" w:color="auto" w:frame="1"/>
        </w:rPr>
        <w:t> since it is a regressive tax which will impact low-income households the most. However, we did not work against it either since some of our partners did support it. It is projected to generate around $300 million per biennium in ongoing funding for Metro Area counties/communities to provide affordable housing and find long-term solutions to the housing crisis (60% for metro county aid, 25% for state rental assistance, 15% for metro city aid). We </w:t>
      </w:r>
      <w:r w:rsidRPr="00060B35">
        <w:rPr>
          <w:rFonts w:ascii="Tahoma" w:eastAsia="Times New Roman" w:hAnsi="Tahoma" w:cs="Tahoma"/>
          <w:b/>
          <w:bCs/>
          <w:color w:val="000000"/>
          <w:sz w:val="20"/>
          <w:szCs w:val="20"/>
          <w:bdr w:val="none" w:sz="0" w:space="0" w:color="auto" w:frame="1"/>
        </w:rPr>
        <w:t>agree that sources of ongoing funding are VERY needed but aren’t sure that this was the best solution.</w:t>
      </w:r>
    </w:p>
    <w:p w14:paraId="0B36A952" w14:textId="77777777" w:rsidR="00060B35" w:rsidRPr="00060B35" w:rsidRDefault="00060B35" w:rsidP="00060B35">
      <w:pPr>
        <w:spacing w:after="0" w:line="240" w:lineRule="auto"/>
        <w:jc w:val="both"/>
        <w:rPr>
          <w:rFonts w:ascii="Tahoma" w:eastAsia="Times New Roman" w:hAnsi="Tahoma" w:cs="Tahoma"/>
          <w:color w:val="000000"/>
          <w:sz w:val="14"/>
          <w:szCs w:val="14"/>
        </w:rPr>
      </w:pPr>
      <w:r w:rsidRPr="00060B35">
        <w:rPr>
          <w:rFonts w:ascii="Tahoma" w:eastAsia="Times New Roman" w:hAnsi="Tahoma" w:cs="Tahoma"/>
          <w:b/>
          <w:bCs/>
          <w:color w:val="000000"/>
          <w:sz w:val="14"/>
          <w:szCs w:val="14"/>
          <w:bdr w:val="none" w:sz="0" w:space="0" w:color="auto" w:frame="1"/>
        </w:rPr>
        <w:br/>
      </w:r>
    </w:p>
    <w:p w14:paraId="4B0A6D6E" w14:textId="77777777" w:rsidR="00060B35" w:rsidRDefault="00060B35" w:rsidP="00060B35">
      <w:pPr>
        <w:spacing w:after="0" w:line="240" w:lineRule="auto"/>
        <w:jc w:val="both"/>
        <w:rPr>
          <w:rFonts w:ascii="Tahoma" w:eastAsia="Times New Roman" w:hAnsi="Tahoma" w:cs="Tahoma"/>
          <w:color w:val="000000"/>
          <w:sz w:val="20"/>
          <w:szCs w:val="20"/>
          <w:bdr w:val="none" w:sz="0" w:space="0" w:color="auto" w:frame="1"/>
        </w:rPr>
      </w:pPr>
      <w:r w:rsidRPr="00060B35">
        <w:rPr>
          <w:rFonts w:ascii="Tahoma" w:eastAsia="Times New Roman" w:hAnsi="Tahoma" w:cs="Tahoma"/>
          <w:b/>
          <w:bCs/>
          <w:color w:val="000000"/>
          <w:sz w:val="24"/>
          <w:szCs w:val="24"/>
          <w:bdr w:val="none" w:sz="0" w:space="0" w:color="auto" w:frame="1"/>
        </w:rPr>
        <w:t>Funding for the Housing Continuum – Health &amp; Human Services Omnibus Bill (Homelessness/Poverty Reduction Sections):</w:t>
      </w:r>
      <w:r w:rsidRPr="00060B35">
        <w:rPr>
          <w:rFonts w:ascii="Tahoma" w:eastAsia="Times New Roman" w:hAnsi="Tahoma" w:cs="Tahoma"/>
          <w:color w:val="000000"/>
          <w:sz w:val="20"/>
          <w:szCs w:val="20"/>
          <w:bdr w:val="none" w:sz="0" w:space="0" w:color="auto" w:frame="1"/>
        </w:rPr>
        <w:t> We've worked on some of these in the past. However, this year, aside from work on shelter funding, we left the homelessness work on this massive bill to other Homes for All partners, including Lutheran Social Services of Minnesota (LSS-MN), Catholic Charities, and Minnesota Coalition for the Homeless.</w:t>
      </w:r>
    </w:p>
    <w:p w14:paraId="702F05B3" w14:textId="77777777" w:rsidR="00060B35" w:rsidRPr="00060B35" w:rsidRDefault="00060B35" w:rsidP="00060B35">
      <w:pPr>
        <w:spacing w:after="0" w:line="240" w:lineRule="auto"/>
        <w:jc w:val="both"/>
        <w:rPr>
          <w:rFonts w:ascii="Tahoma" w:eastAsia="Times New Roman" w:hAnsi="Tahoma" w:cs="Tahoma"/>
          <w:color w:val="000000"/>
          <w:sz w:val="14"/>
          <w:szCs w:val="14"/>
        </w:rPr>
      </w:pPr>
    </w:p>
    <w:p w14:paraId="6A14E91A" w14:textId="1B464463" w:rsidR="00060B35" w:rsidRPr="00060B35" w:rsidRDefault="00060B35" w:rsidP="00060B35">
      <w:pPr>
        <w:numPr>
          <w:ilvl w:val="0"/>
          <w:numId w:val="6"/>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Passed $100 million for Homeless Shelter Creation &amp; Safety</w:t>
      </w:r>
      <w:r w:rsidRPr="00060B35">
        <w:rPr>
          <w:rFonts w:ascii="Tahoma" w:eastAsia="Times New Roman" w:hAnsi="Tahoma" w:cs="Tahoma"/>
          <w:color w:val="000000"/>
          <w:sz w:val="20"/>
          <w:szCs w:val="20"/>
          <w:bdr w:val="none" w:sz="0" w:space="0" w:color="auto" w:frame="1"/>
        </w:rPr>
        <w:t> – This is less than half of what studies show is needed statewide, but it is a </w:t>
      </w:r>
      <w:r w:rsidRPr="00060B35">
        <w:rPr>
          <w:rFonts w:ascii="Tahoma" w:eastAsia="Times New Roman" w:hAnsi="Tahoma" w:cs="Tahoma"/>
          <w:b/>
          <w:bCs/>
          <w:i/>
          <w:iCs/>
          <w:color w:val="000000"/>
          <w:sz w:val="20"/>
          <w:szCs w:val="20"/>
          <w:bdr w:val="none" w:sz="0" w:space="0" w:color="auto" w:frame="1"/>
        </w:rPr>
        <w:t xml:space="preserve">tremendous </w:t>
      </w:r>
      <w:proofErr w:type="gramStart"/>
      <w:r w:rsidRPr="00060B35">
        <w:rPr>
          <w:rFonts w:ascii="Tahoma" w:eastAsia="Times New Roman" w:hAnsi="Tahoma" w:cs="Tahoma"/>
          <w:b/>
          <w:bCs/>
          <w:i/>
          <w:iCs/>
          <w:color w:val="000000"/>
          <w:sz w:val="20"/>
          <w:szCs w:val="20"/>
          <w:bdr w:val="none" w:sz="0" w:space="0" w:color="auto" w:frame="1"/>
        </w:rPr>
        <w:t>start</w:t>
      </w:r>
      <w:proofErr w:type="gramEnd"/>
    </w:p>
    <w:p w14:paraId="026C996B" w14:textId="77777777" w:rsidR="00060B35" w:rsidRPr="00060B35" w:rsidRDefault="00060B35" w:rsidP="00060B35">
      <w:pPr>
        <w:spacing w:after="0" w:line="240" w:lineRule="auto"/>
        <w:ind w:left="720"/>
        <w:jc w:val="both"/>
        <w:rPr>
          <w:rFonts w:ascii="Tahoma" w:eastAsia="Times New Roman" w:hAnsi="Tahoma" w:cs="Tahoma"/>
          <w:color w:val="000000"/>
          <w:sz w:val="8"/>
          <w:szCs w:val="8"/>
        </w:rPr>
      </w:pPr>
    </w:p>
    <w:p w14:paraId="3F3F89F9" w14:textId="77777777" w:rsidR="00060B35" w:rsidRPr="00060B35" w:rsidRDefault="00060B35" w:rsidP="00060B35">
      <w:pPr>
        <w:numPr>
          <w:ilvl w:val="0"/>
          <w:numId w:val="6"/>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Additional Funding for Homelessness Programs:</w:t>
      </w:r>
      <w:r w:rsidRPr="00060B35">
        <w:rPr>
          <w:rFonts w:ascii="Tahoma" w:eastAsia="Times New Roman" w:hAnsi="Tahoma" w:cs="Tahoma"/>
          <w:color w:val="000000"/>
          <w:sz w:val="20"/>
          <w:szCs w:val="20"/>
          <w:bdr w:val="none" w:sz="0" w:space="0" w:color="auto" w:frame="1"/>
        </w:rPr>
        <w:t> Around 85 million in additional resources for homelessness. This includes increases for the </w:t>
      </w:r>
      <w:r w:rsidRPr="00060B35">
        <w:rPr>
          <w:rFonts w:ascii="Tahoma" w:eastAsia="Times New Roman" w:hAnsi="Tahoma" w:cs="Tahoma"/>
          <w:b/>
          <w:bCs/>
          <w:i/>
          <w:iCs/>
          <w:color w:val="000000"/>
          <w:sz w:val="20"/>
          <w:szCs w:val="20"/>
          <w:bdr w:val="none" w:sz="0" w:space="0" w:color="auto" w:frame="1"/>
        </w:rPr>
        <w:t>Emergency Services Program (ESP)</w:t>
      </w:r>
      <w:r w:rsidRPr="00060B35">
        <w:rPr>
          <w:rFonts w:ascii="Tahoma" w:eastAsia="Times New Roman" w:hAnsi="Tahoma" w:cs="Tahoma"/>
          <w:color w:val="000000"/>
          <w:sz w:val="20"/>
          <w:szCs w:val="20"/>
          <w:bdr w:val="none" w:sz="0" w:space="0" w:color="auto" w:frame="1"/>
        </w:rPr>
        <w:t> and </w:t>
      </w:r>
      <w:r w:rsidRPr="00060B35">
        <w:rPr>
          <w:rFonts w:ascii="Tahoma" w:eastAsia="Times New Roman" w:hAnsi="Tahoma" w:cs="Tahoma"/>
          <w:b/>
          <w:bCs/>
          <w:i/>
          <w:iCs/>
          <w:color w:val="000000"/>
          <w:sz w:val="20"/>
          <w:szCs w:val="20"/>
          <w:bdr w:val="none" w:sz="0" w:space="0" w:color="auto" w:frame="1"/>
        </w:rPr>
        <w:t>Homeless Youth Act (more than 60% increase)</w:t>
      </w:r>
      <w:r w:rsidRPr="00060B35">
        <w:rPr>
          <w:rFonts w:ascii="Tahoma" w:eastAsia="Times New Roman" w:hAnsi="Tahoma" w:cs="Tahoma"/>
          <w:color w:val="000000"/>
          <w:sz w:val="20"/>
          <w:szCs w:val="20"/>
          <w:bdr w:val="none" w:sz="0" w:space="0" w:color="auto" w:frame="1"/>
        </w:rPr>
        <w:t xml:space="preserve">. Also included are resources dedicated to Hennepin &amp; Ramsey Counties for specific shelter &amp; wrap-around services requests, and a small Homeless Elders Program at Catholic Charities (1.5 million). [ESP and Homeless Youth Act funding increases have been on the Homes for All agenda for many years, and we have worked on those previously. We supported them this </w:t>
      </w:r>
      <w:proofErr w:type="gramStart"/>
      <w:r w:rsidRPr="00060B35">
        <w:rPr>
          <w:rFonts w:ascii="Tahoma" w:eastAsia="Times New Roman" w:hAnsi="Tahoma" w:cs="Tahoma"/>
          <w:color w:val="000000"/>
          <w:sz w:val="20"/>
          <w:szCs w:val="20"/>
          <w:bdr w:val="none" w:sz="0" w:space="0" w:color="auto" w:frame="1"/>
        </w:rPr>
        <w:t>year, but</w:t>
      </w:r>
      <w:proofErr w:type="gramEnd"/>
      <w:r w:rsidRPr="00060B35">
        <w:rPr>
          <w:rFonts w:ascii="Tahoma" w:eastAsia="Times New Roman" w:hAnsi="Tahoma" w:cs="Tahoma"/>
          <w:color w:val="000000"/>
          <w:sz w:val="20"/>
          <w:szCs w:val="20"/>
          <w:bdr w:val="none" w:sz="0" w:space="0" w:color="auto" w:frame="1"/>
        </w:rPr>
        <w:t xml:space="preserve"> didn’t work to get them like we did with the housing funding.]</w:t>
      </w:r>
    </w:p>
    <w:p w14:paraId="12EAA8AD" w14:textId="77777777" w:rsidR="00060B35" w:rsidRPr="00060B35" w:rsidRDefault="00060B35" w:rsidP="00060B35">
      <w:pPr>
        <w:spacing w:after="0" w:line="240" w:lineRule="auto"/>
        <w:jc w:val="both"/>
        <w:rPr>
          <w:rFonts w:ascii="Tahoma" w:eastAsia="Times New Roman" w:hAnsi="Tahoma" w:cs="Tahoma"/>
          <w:color w:val="000000"/>
          <w:sz w:val="8"/>
          <w:szCs w:val="8"/>
        </w:rPr>
      </w:pPr>
    </w:p>
    <w:p w14:paraId="039CF525" w14:textId="77777777" w:rsidR="00060B35" w:rsidRPr="00060B35" w:rsidRDefault="00060B35" w:rsidP="00060B35">
      <w:pPr>
        <w:numPr>
          <w:ilvl w:val="0"/>
          <w:numId w:val="6"/>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lastRenderedPageBreak/>
        <w:t>Other Inclusions:</w:t>
      </w:r>
      <w:r w:rsidRPr="00060B35">
        <w:rPr>
          <w:rFonts w:ascii="Tahoma" w:eastAsia="Times New Roman" w:hAnsi="Tahoma" w:cs="Tahoma"/>
          <w:color w:val="000000"/>
          <w:sz w:val="20"/>
          <w:szCs w:val="20"/>
          <w:bdr w:val="none" w:sz="0" w:space="0" w:color="auto" w:frame="1"/>
        </w:rPr>
        <w:t> Safe Harbor shelter &amp; housing; Child Care Assistance Program updates to help more families access affordable childcare &amp; help providers get/keep workers; Transitional Housing reforms to cap housing costs at 30% of income for vets &amp; people on disability or similar programs (some people have been spending as much as 90% on housing, leaving little for food and other necessities); recuperative care for those experiencing homelessness discharged from the hospital; a 3% increase for community mental health; funding for food security; and reforms to reporting requirements for Minnesota Family Investment Program participants. (This list does not include all the health care pieces which make up much of the bill).</w:t>
      </w:r>
    </w:p>
    <w:p w14:paraId="27DFCF05" w14:textId="22D9D8D4" w:rsidR="00060B35" w:rsidRPr="00060B35" w:rsidRDefault="00060B35" w:rsidP="00060B35">
      <w:p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36"/>
          <w:szCs w:val="36"/>
          <w:bdr w:val="none" w:sz="0" w:space="0" w:color="auto" w:frame="1"/>
        </w:rPr>
        <w:br/>
      </w:r>
      <w:r w:rsidRPr="00060B35">
        <w:rPr>
          <w:rFonts w:ascii="Tahoma" w:eastAsia="Times New Roman" w:hAnsi="Tahoma" w:cs="Tahoma"/>
          <w:b/>
          <w:bCs/>
          <w:color w:val="000000"/>
          <w:sz w:val="28"/>
          <w:szCs w:val="28"/>
          <w:bdr w:val="none" w:sz="0" w:space="0" w:color="auto" w:frame="1"/>
        </w:rPr>
        <w:t>Clean Energy/Climate Crisis Mitigation</w:t>
      </w:r>
    </w:p>
    <w:p w14:paraId="5015B7E6" w14:textId="0807300F" w:rsidR="00060B35" w:rsidRPr="00060B35" w:rsidRDefault="00060B35" w:rsidP="00060B35">
      <w:pPr>
        <w:spacing w:after="0" w:line="240" w:lineRule="auto"/>
        <w:jc w:val="both"/>
        <w:rPr>
          <w:rFonts w:ascii="Tahoma" w:eastAsia="Times New Roman" w:hAnsi="Tahoma" w:cs="Tahoma"/>
          <w:color w:val="000000"/>
          <w:sz w:val="28"/>
          <w:szCs w:val="28"/>
        </w:rPr>
      </w:pPr>
    </w:p>
    <w:p w14:paraId="6C3CDE86" w14:textId="77777777" w:rsidR="00060B35" w:rsidRPr="00060B35" w:rsidRDefault="00060B35" w:rsidP="00060B35">
      <w:p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4"/>
          <w:szCs w:val="24"/>
          <w:bdr w:val="none" w:sz="0" w:space="0" w:color="auto" w:frame="1"/>
        </w:rPr>
        <w:t>Passed 100% Clean Energy Standard:</w:t>
      </w:r>
      <w:r w:rsidRPr="00060B35">
        <w:rPr>
          <w:rFonts w:ascii="Tahoma" w:eastAsia="Times New Roman" w:hAnsi="Tahoma" w:cs="Tahoma"/>
          <w:color w:val="000000"/>
          <w:sz w:val="20"/>
          <w:szCs w:val="20"/>
          <w:bdr w:val="none" w:sz="0" w:space="0" w:color="auto" w:frame="1"/>
        </w:rPr>
        <w:t> Establishes the goal to </w:t>
      </w:r>
      <w:r w:rsidRPr="00060B35">
        <w:rPr>
          <w:rFonts w:ascii="Tahoma" w:eastAsia="Times New Roman" w:hAnsi="Tahoma" w:cs="Tahoma"/>
          <w:b/>
          <w:bCs/>
          <w:i/>
          <w:iCs/>
          <w:color w:val="000000"/>
          <w:sz w:val="20"/>
          <w:szCs w:val="20"/>
          <w:bdr w:val="none" w:sz="0" w:space="0" w:color="auto" w:frame="1"/>
        </w:rPr>
        <w:t>achieve a transition to 100% clean electricity in Minnesota by 2040.</w:t>
      </w:r>
      <w:r w:rsidRPr="00060B35">
        <w:rPr>
          <w:rFonts w:ascii="Tahoma" w:eastAsia="Times New Roman" w:hAnsi="Tahoma" w:cs="Tahoma"/>
          <w:color w:val="000000"/>
          <w:sz w:val="20"/>
          <w:szCs w:val="20"/>
          <w:bdr w:val="none" w:sz="0" w:space="0" w:color="auto" w:frame="1"/>
        </w:rPr>
        <w:t> This passed as a stand-alone bill within just a few weeks at the beginning of the legislative session. LA-MN has been working on Clean Energy Standards since early in the days of my predecessor. He was engaged in the 2007 legislation which set the Renewable Energy Standard (RES) at 25% renewable electricity statewide by 2025, with 30% for Xcel. We reached that goal 4-5 years ago, many years ahead of schedule. Along with coalition partners, we’ve been trying to improve the RES since I arrived at LA-MN in 2014.</w:t>
      </w:r>
    </w:p>
    <w:p w14:paraId="7631B110" w14:textId="77777777" w:rsidR="00060B35" w:rsidRPr="00060B35" w:rsidRDefault="00060B35" w:rsidP="00060B35">
      <w:pPr>
        <w:spacing w:after="0" w:line="240" w:lineRule="auto"/>
        <w:jc w:val="both"/>
        <w:rPr>
          <w:rFonts w:ascii="Tahoma" w:eastAsia="Times New Roman" w:hAnsi="Tahoma" w:cs="Tahoma"/>
          <w:color w:val="000000"/>
          <w:sz w:val="14"/>
          <w:szCs w:val="14"/>
        </w:rPr>
      </w:pPr>
      <w:r w:rsidRPr="00060B35">
        <w:rPr>
          <w:rFonts w:ascii="Tahoma" w:eastAsia="Times New Roman" w:hAnsi="Tahoma" w:cs="Tahoma"/>
          <w:color w:val="000000"/>
          <w:sz w:val="14"/>
          <w:szCs w:val="14"/>
          <w:bdr w:val="none" w:sz="0" w:space="0" w:color="auto" w:frame="1"/>
        </w:rPr>
        <w:br/>
      </w:r>
    </w:p>
    <w:p w14:paraId="6B62B2B6" w14:textId="77777777" w:rsidR="00060B35" w:rsidRPr="00060B35" w:rsidRDefault="00060B35" w:rsidP="00060B35">
      <w:p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4"/>
          <w:szCs w:val="24"/>
          <w:bdr w:val="none" w:sz="0" w:space="0" w:color="auto" w:frame="1"/>
        </w:rPr>
        <w:t>Minnesota State Competitiveness Fund:</w:t>
      </w:r>
      <w:r w:rsidRPr="00060B35">
        <w:rPr>
          <w:rFonts w:ascii="Tahoma" w:eastAsia="Times New Roman" w:hAnsi="Tahoma" w:cs="Tahoma"/>
          <w:color w:val="000000"/>
          <w:sz w:val="20"/>
          <w:szCs w:val="20"/>
          <w:bdr w:val="none" w:sz="0" w:space="0" w:color="auto" w:frame="1"/>
        </w:rPr>
        <w:t> We were very concerned last year when legislation wasn’t passed to provide matches to receive federal funding through the Bipartisan Infrastructure Act (and later the Inflation Reduction Act). Although we missed a few opportunities, mid-session the legislature created a </w:t>
      </w:r>
      <w:r w:rsidRPr="00060B35">
        <w:rPr>
          <w:rFonts w:ascii="Tahoma" w:eastAsia="Times New Roman" w:hAnsi="Tahoma" w:cs="Tahoma"/>
          <w:b/>
          <w:bCs/>
          <w:i/>
          <w:iCs/>
          <w:color w:val="000000"/>
          <w:sz w:val="20"/>
          <w:szCs w:val="20"/>
          <w:bdr w:val="none" w:sz="0" w:space="0" w:color="auto" w:frame="1"/>
        </w:rPr>
        <w:t>fund of $190 million to leverage federal funding.</w:t>
      </w:r>
    </w:p>
    <w:p w14:paraId="446EF2B8" w14:textId="77777777" w:rsidR="00060B35" w:rsidRPr="00060B35" w:rsidRDefault="00060B35" w:rsidP="00060B35">
      <w:pPr>
        <w:spacing w:after="0" w:line="240" w:lineRule="auto"/>
        <w:jc w:val="both"/>
        <w:rPr>
          <w:rFonts w:ascii="Tahoma" w:eastAsia="Times New Roman" w:hAnsi="Tahoma" w:cs="Tahoma"/>
          <w:color w:val="000000"/>
          <w:sz w:val="14"/>
          <w:szCs w:val="14"/>
        </w:rPr>
      </w:pPr>
      <w:r w:rsidRPr="00060B35">
        <w:rPr>
          <w:rFonts w:ascii="Tahoma" w:eastAsia="Times New Roman" w:hAnsi="Tahoma" w:cs="Tahoma"/>
          <w:color w:val="000000"/>
          <w:sz w:val="14"/>
          <w:szCs w:val="14"/>
          <w:bdr w:val="none" w:sz="0" w:space="0" w:color="auto" w:frame="1"/>
        </w:rPr>
        <w:br/>
      </w:r>
    </w:p>
    <w:p w14:paraId="6F624765" w14:textId="77777777" w:rsidR="00060B35" w:rsidRDefault="00060B35" w:rsidP="00060B35">
      <w:pPr>
        <w:spacing w:after="0" w:line="240" w:lineRule="auto"/>
        <w:jc w:val="both"/>
        <w:rPr>
          <w:rFonts w:ascii="Tahoma" w:eastAsia="Times New Roman" w:hAnsi="Tahoma" w:cs="Tahoma"/>
          <w:color w:val="000000"/>
          <w:sz w:val="20"/>
          <w:szCs w:val="20"/>
          <w:bdr w:val="none" w:sz="0" w:space="0" w:color="auto" w:frame="1"/>
        </w:rPr>
      </w:pPr>
      <w:r w:rsidRPr="00060B35">
        <w:rPr>
          <w:rFonts w:ascii="Tahoma" w:eastAsia="Times New Roman" w:hAnsi="Tahoma" w:cs="Tahoma"/>
          <w:b/>
          <w:bCs/>
          <w:color w:val="000000"/>
          <w:sz w:val="24"/>
          <w:szCs w:val="24"/>
          <w:bdr w:val="none" w:sz="0" w:space="0" w:color="auto" w:frame="1"/>
        </w:rPr>
        <w:t>Environment, Natural Resources, Climate, &amp; Energy Omnibus:</w:t>
      </w:r>
      <w:r w:rsidRPr="00060B35">
        <w:rPr>
          <w:rFonts w:ascii="Tahoma" w:eastAsia="Times New Roman" w:hAnsi="Tahoma" w:cs="Tahoma"/>
          <w:color w:val="000000"/>
          <w:sz w:val="20"/>
          <w:szCs w:val="20"/>
          <w:bdr w:val="none" w:sz="0" w:space="0" w:color="auto" w:frame="1"/>
        </w:rPr>
        <w:t> This was a massive bill which combined many pieces of legislation and covered various department budgets, in addition to addressing the climate crisis and transition to a clean energy economy. We worked on pieces relating to clean energy and the climate crisis.</w:t>
      </w:r>
    </w:p>
    <w:p w14:paraId="00F1A740" w14:textId="77777777" w:rsidR="00060B35" w:rsidRPr="00060B35" w:rsidRDefault="00060B35" w:rsidP="00060B35">
      <w:pPr>
        <w:spacing w:after="0" w:line="240" w:lineRule="auto"/>
        <w:jc w:val="both"/>
        <w:rPr>
          <w:rFonts w:ascii="Tahoma" w:eastAsia="Times New Roman" w:hAnsi="Tahoma" w:cs="Tahoma"/>
          <w:color w:val="000000"/>
          <w:sz w:val="14"/>
          <w:szCs w:val="14"/>
        </w:rPr>
      </w:pPr>
    </w:p>
    <w:p w14:paraId="2859E3A1" w14:textId="77777777" w:rsidR="00060B35" w:rsidRPr="00060B35" w:rsidRDefault="00060B35" w:rsidP="00060B35">
      <w:pPr>
        <w:numPr>
          <w:ilvl w:val="0"/>
          <w:numId w:val="7"/>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Next Generation Climate Act:</w:t>
      </w:r>
      <w:r w:rsidRPr="00060B35">
        <w:rPr>
          <w:rFonts w:ascii="Tahoma" w:eastAsia="Times New Roman" w:hAnsi="Tahoma" w:cs="Tahoma"/>
          <w:color w:val="000000"/>
          <w:sz w:val="20"/>
          <w:szCs w:val="20"/>
          <w:bdr w:val="none" w:sz="0" w:space="0" w:color="auto" w:frame="1"/>
        </w:rPr>
        <w:t> This </w:t>
      </w:r>
      <w:r w:rsidRPr="00060B35">
        <w:rPr>
          <w:rFonts w:ascii="Tahoma" w:eastAsia="Times New Roman" w:hAnsi="Tahoma" w:cs="Tahoma"/>
          <w:b/>
          <w:bCs/>
          <w:i/>
          <w:iCs/>
          <w:color w:val="000000"/>
          <w:sz w:val="20"/>
          <w:szCs w:val="20"/>
          <w:bdr w:val="none" w:sz="0" w:space="0" w:color="auto" w:frame="1"/>
        </w:rPr>
        <w:t>updates</w:t>
      </w:r>
      <w:r w:rsidRPr="00060B35">
        <w:rPr>
          <w:rFonts w:ascii="Tahoma" w:eastAsia="Times New Roman" w:hAnsi="Tahoma" w:cs="Tahoma"/>
          <w:color w:val="000000"/>
          <w:sz w:val="20"/>
          <w:szCs w:val="20"/>
          <w:bdr w:val="none" w:sz="0" w:space="0" w:color="auto" w:frame="1"/>
        </w:rPr>
        <w:t> the state greenhouse gas</w:t>
      </w:r>
      <w:r w:rsidRPr="00060B35">
        <w:rPr>
          <w:rFonts w:ascii="Tahoma" w:eastAsia="Times New Roman" w:hAnsi="Tahoma" w:cs="Tahoma"/>
          <w:b/>
          <w:bCs/>
          <w:i/>
          <w:iCs/>
          <w:color w:val="000000"/>
          <w:sz w:val="20"/>
          <w:szCs w:val="20"/>
          <w:bdr w:val="none" w:sz="0" w:space="0" w:color="auto" w:frame="1"/>
        </w:rPr>
        <w:t> emissions reduction goals</w:t>
      </w:r>
      <w:r w:rsidRPr="00060B35">
        <w:rPr>
          <w:rFonts w:ascii="Tahoma" w:eastAsia="Times New Roman" w:hAnsi="Tahoma" w:cs="Tahoma"/>
          <w:color w:val="000000"/>
          <w:sz w:val="20"/>
          <w:szCs w:val="20"/>
          <w:bdr w:val="none" w:sz="0" w:space="0" w:color="auto" w:frame="1"/>
        </w:rPr>
        <w:t> first established in the 2007 Next Generation Energy Act to match current science. It establishes a </w:t>
      </w:r>
      <w:r w:rsidRPr="00060B35">
        <w:rPr>
          <w:rFonts w:ascii="Tahoma" w:eastAsia="Times New Roman" w:hAnsi="Tahoma" w:cs="Tahoma"/>
          <w:b/>
          <w:bCs/>
          <w:i/>
          <w:iCs/>
          <w:color w:val="000000"/>
          <w:sz w:val="20"/>
          <w:szCs w:val="20"/>
          <w:bdr w:val="none" w:sz="0" w:space="0" w:color="auto" w:frame="1"/>
        </w:rPr>
        <w:t>50% reduction target (on a 2005 base) by 2030</w:t>
      </w:r>
      <w:r w:rsidRPr="00060B35">
        <w:rPr>
          <w:rFonts w:ascii="Tahoma" w:eastAsia="Times New Roman" w:hAnsi="Tahoma" w:cs="Tahoma"/>
          <w:color w:val="000000"/>
          <w:sz w:val="20"/>
          <w:szCs w:val="20"/>
          <w:bdr w:val="none" w:sz="0" w:space="0" w:color="auto" w:frame="1"/>
        </w:rPr>
        <w:t> and a net</w:t>
      </w:r>
      <w:r w:rsidRPr="00060B35">
        <w:rPr>
          <w:rFonts w:ascii="Tahoma" w:eastAsia="Times New Roman" w:hAnsi="Tahoma" w:cs="Tahoma"/>
          <w:b/>
          <w:bCs/>
          <w:i/>
          <w:iCs/>
          <w:color w:val="000000"/>
          <w:sz w:val="20"/>
          <w:szCs w:val="20"/>
          <w:bdr w:val="none" w:sz="0" w:space="0" w:color="auto" w:frame="1"/>
        </w:rPr>
        <w:t> zero target by 2050</w:t>
      </w:r>
      <w:r w:rsidRPr="00060B35">
        <w:rPr>
          <w:rFonts w:ascii="Tahoma" w:eastAsia="Times New Roman" w:hAnsi="Tahoma" w:cs="Tahoma"/>
          <w:color w:val="000000"/>
          <w:sz w:val="20"/>
          <w:szCs w:val="20"/>
          <w:bdr w:val="none" w:sz="0" w:space="0" w:color="auto" w:frame="1"/>
        </w:rPr>
        <w:t>. We worked on this last year, and pushed hard for it again at the end of this session when it looked like it was going to be left out of the final omnibus bill.</w:t>
      </w:r>
    </w:p>
    <w:p w14:paraId="4AA7CA2B" w14:textId="77777777" w:rsidR="00060B35" w:rsidRPr="00060B35" w:rsidRDefault="00060B35" w:rsidP="00060B35">
      <w:pPr>
        <w:spacing w:after="0" w:line="240" w:lineRule="auto"/>
        <w:ind w:left="720"/>
        <w:jc w:val="both"/>
        <w:rPr>
          <w:rFonts w:ascii="Tahoma" w:eastAsia="Times New Roman" w:hAnsi="Tahoma" w:cs="Tahoma"/>
          <w:color w:val="000000"/>
          <w:sz w:val="8"/>
          <w:szCs w:val="8"/>
        </w:rPr>
      </w:pPr>
    </w:p>
    <w:p w14:paraId="1B7E6DBC" w14:textId="77777777" w:rsidR="00060B35" w:rsidRPr="00060B35" w:rsidRDefault="00060B35" w:rsidP="00060B35">
      <w:pPr>
        <w:numPr>
          <w:ilvl w:val="0"/>
          <w:numId w:val="7"/>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Energy Transition (</w:t>
      </w:r>
      <w:proofErr w:type="spellStart"/>
      <w:r w:rsidRPr="00060B35">
        <w:rPr>
          <w:rFonts w:ascii="Tahoma" w:eastAsia="Times New Roman" w:hAnsi="Tahoma" w:cs="Tahoma"/>
          <w:b/>
          <w:bCs/>
          <w:color w:val="000000"/>
          <w:sz w:val="20"/>
          <w:szCs w:val="20"/>
          <w:bdr w:val="none" w:sz="0" w:space="0" w:color="auto" w:frame="1"/>
        </w:rPr>
        <w:t>MnCIFA</w:t>
      </w:r>
      <w:proofErr w:type="spellEnd"/>
      <w:r w:rsidRPr="00060B35">
        <w:rPr>
          <w:rFonts w:ascii="Tahoma" w:eastAsia="Times New Roman" w:hAnsi="Tahoma" w:cs="Tahoma"/>
          <w:b/>
          <w:bCs/>
          <w:color w:val="000000"/>
          <w:sz w:val="20"/>
          <w:szCs w:val="20"/>
          <w:bdr w:val="none" w:sz="0" w:space="0" w:color="auto" w:frame="1"/>
        </w:rPr>
        <w:t>):</w:t>
      </w:r>
      <w:r w:rsidRPr="00060B35">
        <w:rPr>
          <w:rFonts w:ascii="Tahoma" w:eastAsia="Times New Roman" w:hAnsi="Tahoma" w:cs="Tahoma"/>
          <w:color w:val="000000"/>
          <w:sz w:val="20"/>
          <w:szCs w:val="20"/>
          <w:bdr w:val="none" w:sz="0" w:space="0" w:color="auto" w:frame="1"/>
        </w:rPr>
        <w:t> The </w:t>
      </w:r>
      <w:r w:rsidRPr="00060B35">
        <w:rPr>
          <w:rFonts w:ascii="Tahoma" w:eastAsia="Times New Roman" w:hAnsi="Tahoma" w:cs="Tahoma"/>
          <w:b/>
          <w:bCs/>
          <w:i/>
          <w:iCs/>
          <w:color w:val="000000"/>
          <w:sz w:val="20"/>
          <w:szCs w:val="20"/>
          <w:bdr w:val="none" w:sz="0" w:space="0" w:color="auto" w:frame="1"/>
        </w:rPr>
        <w:t>Minnesota Climate Innovation Finance Authority (</w:t>
      </w:r>
      <w:proofErr w:type="spellStart"/>
      <w:r w:rsidRPr="00060B35">
        <w:rPr>
          <w:rFonts w:ascii="Tahoma" w:eastAsia="Times New Roman" w:hAnsi="Tahoma" w:cs="Tahoma"/>
          <w:b/>
          <w:bCs/>
          <w:i/>
          <w:iCs/>
          <w:color w:val="000000"/>
          <w:sz w:val="20"/>
          <w:szCs w:val="20"/>
          <w:bdr w:val="none" w:sz="0" w:space="0" w:color="auto" w:frame="1"/>
        </w:rPr>
        <w:t>MnCIFA</w:t>
      </w:r>
      <w:proofErr w:type="spellEnd"/>
      <w:r w:rsidRPr="00060B35">
        <w:rPr>
          <w:rFonts w:ascii="Tahoma" w:eastAsia="Times New Roman" w:hAnsi="Tahoma" w:cs="Tahoma"/>
          <w:b/>
          <w:bCs/>
          <w:i/>
          <w:iCs/>
          <w:color w:val="000000"/>
          <w:sz w:val="20"/>
          <w:szCs w:val="20"/>
          <w:bdr w:val="none" w:sz="0" w:space="0" w:color="auto" w:frame="1"/>
        </w:rPr>
        <w:t>)</w:t>
      </w:r>
      <w:r w:rsidRPr="00060B35">
        <w:rPr>
          <w:rFonts w:ascii="Tahoma" w:eastAsia="Times New Roman" w:hAnsi="Tahoma" w:cs="Tahoma"/>
          <w:color w:val="000000"/>
          <w:sz w:val="20"/>
          <w:szCs w:val="20"/>
          <w:bdr w:val="none" w:sz="0" w:space="0" w:color="auto" w:frame="1"/>
        </w:rPr>
        <w:t> was established to </w:t>
      </w:r>
      <w:r w:rsidRPr="00060B35">
        <w:rPr>
          <w:rFonts w:ascii="Tahoma" w:eastAsia="Times New Roman" w:hAnsi="Tahoma" w:cs="Tahoma"/>
          <w:b/>
          <w:bCs/>
          <w:i/>
          <w:iCs/>
          <w:color w:val="000000"/>
          <w:sz w:val="20"/>
          <w:szCs w:val="20"/>
          <w:bdr w:val="none" w:sz="0" w:space="0" w:color="auto" w:frame="1"/>
        </w:rPr>
        <w:t>help workers and communities transition to the clean energy economy</w:t>
      </w:r>
      <w:r w:rsidRPr="00060B35">
        <w:rPr>
          <w:rFonts w:ascii="Tahoma" w:eastAsia="Times New Roman" w:hAnsi="Tahoma" w:cs="Tahoma"/>
          <w:color w:val="000000"/>
          <w:sz w:val="20"/>
          <w:szCs w:val="20"/>
          <w:bdr w:val="none" w:sz="0" w:space="0" w:color="auto" w:frame="1"/>
        </w:rPr>
        <w:t xml:space="preserve">. It prioritizes low-income communities, BIPOC* communities, and workers/communities experiencing significant changes in the transition (like where a power plant is closed). [*BIPOC refers to Black, Indigenous, People of Color.] It also helps bolster climate solutions that benefit everyone. </w:t>
      </w:r>
      <w:proofErr w:type="spellStart"/>
      <w:r w:rsidRPr="00060B35">
        <w:rPr>
          <w:rFonts w:ascii="Tahoma" w:eastAsia="Times New Roman" w:hAnsi="Tahoma" w:cs="Tahoma"/>
          <w:color w:val="000000"/>
          <w:sz w:val="20"/>
          <w:szCs w:val="20"/>
          <w:bdr w:val="none" w:sz="0" w:space="0" w:color="auto" w:frame="1"/>
        </w:rPr>
        <w:t>MnCIFA</w:t>
      </w:r>
      <w:proofErr w:type="spellEnd"/>
      <w:r w:rsidRPr="00060B35">
        <w:rPr>
          <w:rFonts w:ascii="Tahoma" w:eastAsia="Times New Roman" w:hAnsi="Tahoma" w:cs="Tahoma"/>
          <w:color w:val="000000"/>
          <w:sz w:val="20"/>
          <w:szCs w:val="20"/>
          <w:bdr w:val="none" w:sz="0" w:space="0" w:color="auto" w:frame="1"/>
        </w:rPr>
        <w:t> </w:t>
      </w:r>
      <w:r w:rsidRPr="00060B35">
        <w:rPr>
          <w:rFonts w:ascii="Tahoma" w:eastAsia="Times New Roman" w:hAnsi="Tahoma" w:cs="Tahoma"/>
          <w:b/>
          <w:bCs/>
          <w:i/>
          <w:iCs/>
          <w:color w:val="000000"/>
          <w:sz w:val="20"/>
          <w:szCs w:val="20"/>
          <w:bdr w:val="none" w:sz="0" w:space="0" w:color="auto" w:frame="1"/>
        </w:rPr>
        <w:t>needed adequate funding to leverage other funding sources</w:t>
      </w:r>
      <w:r w:rsidRPr="00060B35">
        <w:rPr>
          <w:rFonts w:ascii="Tahoma" w:eastAsia="Times New Roman" w:hAnsi="Tahoma" w:cs="Tahoma"/>
          <w:color w:val="000000"/>
          <w:sz w:val="20"/>
          <w:szCs w:val="20"/>
          <w:bdr w:val="none" w:sz="0" w:space="0" w:color="auto" w:frame="1"/>
        </w:rPr>
        <w:t>, and in the end got $45 million ($20 million from the Environment Omnibus bill and $25 million in the Economic Development/Jobs Omnibus). We joined with Minnesota Interfaith Power and Light (MNIPL) and other partners toward the end of session to address this opportunity.</w:t>
      </w:r>
    </w:p>
    <w:p w14:paraId="5C447B65" w14:textId="77777777" w:rsidR="00060B35" w:rsidRPr="00060B35" w:rsidRDefault="00060B35" w:rsidP="00060B35">
      <w:pPr>
        <w:numPr>
          <w:ilvl w:val="0"/>
          <w:numId w:val="7"/>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Energy Transition (Energy Transition Office):</w:t>
      </w:r>
      <w:r w:rsidRPr="00060B35">
        <w:rPr>
          <w:rFonts w:ascii="Tahoma" w:eastAsia="Times New Roman" w:hAnsi="Tahoma" w:cs="Tahoma"/>
          <w:color w:val="000000"/>
          <w:sz w:val="20"/>
          <w:szCs w:val="20"/>
          <w:bdr w:val="none" w:sz="0" w:space="0" w:color="auto" w:frame="1"/>
        </w:rPr>
        <w:t xml:space="preserve"> When the session started, we thought this new office (created in 2021) would need additional funding and staff to do what </w:t>
      </w:r>
      <w:proofErr w:type="spellStart"/>
      <w:r w:rsidRPr="00060B35">
        <w:rPr>
          <w:rFonts w:ascii="Tahoma" w:eastAsia="Times New Roman" w:hAnsi="Tahoma" w:cs="Tahoma"/>
          <w:color w:val="000000"/>
          <w:sz w:val="20"/>
          <w:szCs w:val="20"/>
          <w:bdr w:val="none" w:sz="0" w:space="0" w:color="auto" w:frame="1"/>
        </w:rPr>
        <w:t>MnCIFA</w:t>
      </w:r>
      <w:proofErr w:type="spellEnd"/>
      <w:r w:rsidRPr="00060B35">
        <w:rPr>
          <w:rFonts w:ascii="Tahoma" w:eastAsia="Times New Roman" w:hAnsi="Tahoma" w:cs="Tahoma"/>
          <w:color w:val="000000"/>
          <w:sz w:val="20"/>
          <w:szCs w:val="20"/>
          <w:bdr w:val="none" w:sz="0" w:space="0" w:color="auto" w:frame="1"/>
        </w:rPr>
        <w:t xml:space="preserve"> is now set up to do. The Energy Transition Office got a small increase in funding. I assume it will likely continue help communities do feasibility studies and assess needs, while </w:t>
      </w:r>
      <w:proofErr w:type="spellStart"/>
      <w:r w:rsidRPr="00060B35">
        <w:rPr>
          <w:rFonts w:ascii="Tahoma" w:eastAsia="Times New Roman" w:hAnsi="Tahoma" w:cs="Tahoma"/>
          <w:color w:val="000000"/>
          <w:sz w:val="20"/>
          <w:szCs w:val="20"/>
          <w:bdr w:val="none" w:sz="0" w:space="0" w:color="auto" w:frame="1"/>
        </w:rPr>
        <w:t>MnCIFA</w:t>
      </w:r>
      <w:proofErr w:type="spellEnd"/>
      <w:r w:rsidRPr="00060B35">
        <w:rPr>
          <w:rFonts w:ascii="Tahoma" w:eastAsia="Times New Roman" w:hAnsi="Tahoma" w:cs="Tahoma"/>
          <w:color w:val="000000"/>
          <w:sz w:val="20"/>
          <w:szCs w:val="20"/>
          <w:bdr w:val="none" w:sz="0" w:space="0" w:color="auto" w:frame="1"/>
        </w:rPr>
        <w:t xml:space="preserve"> does the heavy lifting.</w:t>
      </w:r>
    </w:p>
    <w:p w14:paraId="26053015" w14:textId="77777777" w:rsidR="00060B35" w:rsidRPr="00060B35" w:rsidRDefault="00060B35" w:rsidP="00060B35">
      <w:pPr>
        <w:spacing w:after="0" w:line="240" w:lineRule="auto"/>
        <w:ind w:left="720"/>
        <w:jc w:val="both"/>
        <w:rPr>
          <w:rFonts w:ascii="Tahoma" w:eastAsia="Times New Roman" w:hAnsi="Tahoma" w:cs="Tahoma"/>
          <w:color w:val="000000"/>
          <w:sz w:val="8"/>
          <w:szCs w:val="8"/>
        </w:rPr>
      </w:pPr>
    </w:p>
    <w:p w14:paraId="4A3EB113" w14:textId="77777777" w:rsidR="00060B35" w:rsidRPr="00060B35" w:rsidRDefault="00060B35" w:rsidP="00060B35">
      <w:pPr>
        <w:numPr>
          <w:ilvl w:val="0"/>
          <w:numId w:val="7"/>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Pre-weatherization for Low-Income Homeowners.:</w:t>
      </w:r>
      <w:r w:rsidRPr="00060B35">
        <w:rPr>
          <w:rFonts w:ascii="Tahoma" w:eastAsia="Times New Roman" w:hAnsi="Tahoma" w:cs="Tahoma"/>
          <w:color w:val="000000"/>
          <w:sz w:val="20"/>
          <w:szCs w:val="20"/>
          <w:bdr w:val="none" w:sz="0" w:space="0" w:color="auto" w:frame="1"/>
        </w:rPr>
        <w:t> Many low-income families are </w:t>
      </w:r>
      <w:r w:rsidRPr="00060B35">
        <w:rPr>
          <w:rFonts w:ascii="Tahoma" w:eastAsia="Times New Roman" w:hAnsi="Tahoma" w:cs="Tahoma"/>
          <w:b/>
          <w:bCs/>
          <w:i/>
          <w:iCs/>
          <w:color w:val="000000"/>
          <w:sz w:val="20"/>
          <w:szCs w:val="20"/>
          <w:bdr w:val="none" w:sz="0" w:space="0" w:color="auto" w:frame="1"/>
        </w:rPr>
        <w:t>not eligible for assistance to weatherize</w:t>
      </w:r>
      <w:r w:rsidRPr="00060B35">
        <w:rPr>
          <w:rFonts w:ascii="Tahoma" w:eastAsia="Times New Roman" w:hAnsi="Tahoma" w:cs="Tahoma"/>
          <w:color w:val="000000"/>
          <w:sz w:val="20"/>
          <w:szCs w:val="20"/>
          <w:bdr w:val="none" w:sz="0" w:space="0" w:color="auto" w:frame="1"/>
        </w:rPr>
        <w:t> their homes </w:t>
      </w:r>
      <w:r w:rsidRPr="00060B35">
        <w:rPr>
          <w:rFonts w:ascii="Tahoma" w:eastAsia="Times New Roman" w:hAnsi="Tahoma" w:cs="Tahoma"/>
          <w:b/>
          <w:bCs/>
          <w:i/>
          <w:iCs/>
          <w:color w:val="000000"/>
          <w:sz w:val="20"/>
          <w:szCs w:val="20"/>
          <w:bdr w:val="none" w:sz="0" w:space="0" w:color="auto" w:frame="1"/>
        </w:rPr>
        <w:t>due to other structural issues</w:t>
      </w:r>
      <w:r w:rsidRPr="00060B35">
        <w:rPr>
          <w:rFonts w:ascii="Tahoma" w:eastAsia="Times New Roman" w:hAnsi="Tahoma" w:cs="Tahoma"/>
          <w:color w:val="000000"/>
          <w:sz w:val="20"/>
          <w:szCs w:val="20"/>
          <w:bdr w:val="none" w:sz="0" w:space="0" w:color="auto" w:frame="1"/>
        </w:rPr>
        <w:t>. This program, which we worked on last year with some housing and environmental partners, was included this year to </w:t>
      </w:r>
      <w:r w:rsidRPr="00060B35">
        <w:rPr>
          <w:rFonts w:ascii="Tahoma" w:eastAsia="Times New Roman" w:hAnsi="Tahoma" w:cs="Tahoma"/>
          <w:b/>
          <w:bCs/>
          <w:i/>
          <w:iCs/>
          <w:color w:val="000000"/>
          <w:sz w:val="20"/>
          <w:szCs w:val="20"/>
          <w:bdr w:val="none" w:sz="0" w:space="0" w:color="auto" w:frame="1"/>
        </w:rPr>
        <w:t>help address the barriers that keep people from being able to weatherize their homes.</w:t>
      </w:r>
    </w:p>
    <w:p w14:paraId="6A1B9CFE" w14:textId="77777777" w:rsidR="00060B35" w:rsidRPr="00060B35" w:rsidRDefault="00060B35" w:rsidP="00060B35">
      <w:pPr>
        <w:spacing w:after="0" w:line="240" w:lineRule="auto"/>
        <w:ind w:left="720"/>
        <w:jc w:val="both"/>
        <w:rPr>
          <w:rFonts w:ascii="Tahoma" w:eastAsia="Times New Roman" w:hAnsi="Tahoma" w:cs="Tahoma"/>
          <w:color w:val="000000"/>
          <w:sz w:val="8"/>
          <w:szCs w:val="8"/>
        </w:rPr>
      </w:pPr>
    </w:p>
    <w:p w14:paraId="621C0882" w14:textId="77777777" w:rsidR="00060B35" w:rsidRPr="00060B35" w:rsidRDefault="00060B35" w:rsidP="00060B35">
      <w:pPr>
        <w:numPr>
          <w:ilvl w:val="0"/>
          <w:numId w:val="7"/>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Various Projects &amp; Programs:</w:t>
      </w:r>
      <w:r w:rsidRPr="00060B35">
        <w:rPr>
          <w:rFonts w:ascii="Tahoma" w:eastAsia="Times New Roman" w:hAnsi="Tahoma" w:cs="Tahoma"/>
          <w:color w:val="000000"/>
          <w:sz w:val="20"/>
          <w:szCs w:val="20"/>
          <w:bdr w:val="none" w:sz="0" w:space="0" w:color="auto" w:frame="1"/>
        </w:rPr>
        <w:t> Included in the omnibus bill were heat pump incentives, residential electric panel upgrade incentives, energy storage incentives, </w:t>
      </w:r>
      <w:r w:rsidRPr="00060B35">
        <w:rPr>
          <w:rFonts w:ascii="Tahoma" w:eastAsia="Times New Roman" w:hAnsi="Tahoma" w:cs="Tahoma"/>
          <w:b/>
          <w:bCs/>
          <w:i/>
          <w:iCs/>
          <w:color w:val="000000"/>
          <w:sz w:val="20"/>
          <w:szCs w:val="20"/>
          <w:bdr w:val="none" w:sz="0" w:space="0" w:color="auto" w:frame="1"/>
        </w:rPr>
        <w:t>Community Solar Garden improvements</w:t>
      </w:r>
      <w:r w:rsidRPr="00060B35">
        <w:rPr>
          <w:rFonts w:ascii="Tahoma" w:eastAsia="Times New Roman" w:hAnsi="Tahoma" w:cs="Tahoma"/>
          <w:color w:val="000000"/>
          <w:sz w:val="20"/>
          <w:szCs w:val="20"/>
          <w:bdr w:val="none" w:sz="0" w:space="0" w:color="auto" w:frame="1"/>
        </w:rPr>
        <w:t xml:space="preserve">, an expansion of Solar on Schools, ending Homeowner Association bans on rooftop solar, establishment of Solar on Public Buildings, expansion of the Solar Rewards Program, creation of a school HVAC Upgrade Program, the creation of a Distributed Solar Energy Standard for Utilities, Distributed Energy Upgrade Grants, ordering the creation of a Utility Energy Storage System, Electric Grid Resiliency Grants, a high voltage transmission line in </w:t>
      </w:r>
      <w:r w:rsidRPr="00060B35">
        <w:rPr>
          <w:rFonts w:ascii="Tahoma" w:eastAsia="Times New Roman" w:hAnsi="Tahoma" w:cs="Tahoma"/>
          <w:color w:val="000000"/>
          <w:sz w:val="20"/>
          <w:szCs w:val="20"/>
          <w:bdr w:val="none" w:sz="0" w:space="0" w:color="auto" w:frame="1"/>
        </w:rPr>
        <w:lastRenderedPageBreak/>
        <w:t>Northern Minnesota, allowing power line siting along public highways (to prevent appropriation of land from Minnesota residents), Drinking Water Lead Pipe replacement, Xcel required to plan for Allen S. King </w:t>
      </w:r>
      <w:r w:rsidRPr="00060B35">
        <w:rPr>
          <w:rFonts w:ascii="Tahoma" w:eastAsia="Times New Roman" w:hAnsi="Tahoma" w:cs="Tahoma"/>
          <w:b/>
          <w:bCs/>
          <w:i/>
          <w:iCs/>
          <w:color w:val="000000"/>
          <w:sz w:val="20"/>
          <w:szCs w:val="20"/>
          <w:bdr w:val="none" w:sz="0" w:space="0" w:color="auto" w:frame="1"/>
        </w:rPr>
        <w:t>Coal Plant Decommissioning</w:t>
      </w:r>
      <w:r w:rsidRPr="00060B35">
        <w:rPr>
          <w:rFonts w:ascii="Tahoma" w:eastAsia="Times New Roman" w:hAnsi="Tahoma" w:cs="Tahoma"/>
          <w:color w:val="000000"/>
          <w:sz w:val="20"/>
          <w:szCs w:val="20"/>
          <w:bdr w:val="none" w:sz="0" w:space="0" w:color="auto" w:frame="1"/>
        </w:rPr>
        <w:t>, Electric Utility Transition Aid to local governments, increased annual payments to Prairie Island Indian Community for nuclear waste storage, MN Iron Ore Battery Storage Feasibility Study, natural gas price gouging rebates, consumer access to energy use data, requirement of </w:t>
      </w:r>
      <w:r w:rsidRPr="00060B35">
        <w:rPr>
          <w:rFonts w:ascii="Tahoma" w:eastAsia="Times New Roman" w:hAnsi="Tahoma" w:cs="Tahoma"/>
          <w:b/>
          <w:bCs/>
          <w:i/>
          <w:iCs/>
          <w:color w:val="000000"/>
          <w:sz w:val="20"/>
          <w:szCs w:val="20"/>
          <w:bdr w:val="none" w:sz="0" w:space="0" w:color="auto" w:frame="1"/>
        </w:rPr>
        <w:t>Cumulative Impacts Analysis</w:t>
      </w:r>
      <w:r w:rsidRPr="00060B35">
        <w:rPr>
          <w:rFonts w:ascii="Tahoma" w:eastAsia="Times New Roman" w:hAnsi="Tahoma" w:cs="Tahoma"/>
          <w:color w:val="000000"/>
          <w:sz w:val="20"/>
          <w:szCs w:val="20"/>
          <w:bdr w:val="none" w:sz="0" w:space="0" w:color="auto" w:frame="1"/>
        </w:rPr>
        <w:t> for new &amp; ongoing pollution permits in low-income/BIPOC/Environmental Justice Communities (so that if a community already has polluters and other projects or plants are looking to be built in close proximity, they can’t just do an environmental impact study for the new entity, but must consider the impact of what it adds on top of what already exists in the community), and more. </w:t>
      </w:r>
      <w:r w:rsidRPr="00060B35">
        <w:rPr>
          <w:rFonts w:ascii="Tahoma" w:eastAsia="Times New Roman" w:hAnsi="Tahoma" w:cs="Tahoma"/>
          <w:b/>
          <w:bCs/>
          <w:i/>
          <w:iCs/>
          <w:color w:val="000000"/>
          <w:sz w:val="20"/>
          <w:szCs w:val="20"/>
          <w:bdr w:val="none" w:sz="0" w:space="0" w:color="auto" w:frame="1"/>
        </w:rPr>
        <w:t>Many of these items had passed previously in the Minnesota House, but never reached final passage until this year.</w:t>
      </w:r>
      <w:r w:rsidRPr="00060B35">
        <w:rPr>
          <w:rFonts w:ascii="Tahoma" w:eastAsia="Times New Roman" w:hAnsi="Tahoma" w:cs="Tahoma"/>
          <w:color w:val="000000"/>
          <w:sz w:val="20"/>
          <w:szCs w:val="20"/>
          <w:bdr w:val="none" w:sz="0" w:space="0" w:color="auto" w:frame="1"/>
        </w:rPr>
        <w:t> (Interestingly, utilities were in favor of these items impacting them, and no utilities worked to oppose them this year).</w:t>
      </w:r>
    </w:p>
    <w:p w14:paraId="687F3E90" w14:textId="77777777" w:rsidR="00060B35" w:rsidRPr="00060B35" w:rsidRDefault="00060B35" w:rsidP="00060B35">
      <w:pPr>
        <w:spacing w:after="0" w:line="240" w:lineRule="auto"/>
        <w:jc w:val="both"/>
        <w:rPr>
          <w:rFonts w:ascii="Tahoma" w:eastAsia="Times New Roman" w:hAnsi="Tahoma" w:cs="Tahoma"/>
          <w:color w:val="000000"/>
          <w:sz w:val="20"/>
          <w:szCs w:val="20"/>
        </w:rPr>
      </w:pPr>
    </w:p>
    <w:p w14:paraId="74900442" w14:textId="77777777" w:rsidR="00060B35" w:rsidRDefault="00060B35" w:rsidP="00060B35">
      <w:pPr>
        <w:spacing w:after="0" w:line="240" w:lineRule="auto"/>
        <w:jc w:val="both"/>
        <w:rPr>
          <w:rFonts w:ascii="Tahoma" w:eastAsia="Times New Roman" w:hAnsi="Tahoma" w:cs="Tahoma"/>
          <w:color w:val="000000"/>
          <w:sz w:val="20"/>
          <w:szCs w:val="20"/>
          <w:bdr w:val="none" w:sz="0" w:space="0" w:color="auto" w:frame="1"/>
        </w:rPr>
      </w:pPr>
      <w:r w:rsidRPr="00060B35">
        <w:rPr>
          <w:rFonts w:ascii="Tahoma" w:eastAsia="Times New Roman" w:hAnsi="Tahoma" w:cs="Tahoma"/>
          <w:b/>
          <w:bCs/>
          <w:color w:val="000000"/>
          <w:sz w:val="24"/>
          <w:szCs w:val="24"/>
          <w:bdr w:val="none" w:sz="0" w:space="0" w:color="auto" w:frame="1"/>
        </w:rPr>
        <w:t>Other Areas Impacting Climate Mitigation, Adaptation, or Solutions (in various bills):</w:t>
      </w:r>
      <w:r w:rsidRPr="00060B35">
        <w:rPr>
          <w:rFonts w:ascii="Tahoma" w:eastAsia="Times New Roman" w:hAnsi="Tahoma" w:cs="Tahoma"/>
          <w:color w:val="000000"/>
          <w:sz w:val="20"/>
          <w:szCs w:val="20"/>
          <w:bdr w:val="none" w:sz="0" w:space="0" w:color="auto" w:frame="1"/>
        </w:rPr>
        <w:t> Aside from </w:t>
      </w:r>
      <w:r w:rsidRPr="00060B35">
        <w:rPr>
          <w:rFonts w:ascii="Tahoma" w:eastAsia="Times New Roman" w:hAnsi="Tahoma" w:cs="Tahoma"/>
          <w:b/>
          <w:bCs/>
          <w:i/>
          <w:iCs/>
          <w:color w:val="000000"/>
          <w:sz w:val="20"/>
          <w:szCs w:val="20"/>
          <w:bdr w:val="none" w:sz="0" w:space="0" w:color="auto" w:frame="1"/>
        </w:rPr>
        <w:t>previous work and/or support of cover crops, the Forever Green Program, and Soil Health programs</w:t>
      </w:r>
      <w:r w:rsidRPr="00060B35">
        <w:rPr>
          <w:rFonts w:ascii="Tahoma" w:eastAsia="Times New Roman" w:hAnsi="Tahoma" w:cs="Tahoma"/>
          <w:color w:val="000000"/>
          <w:sz w:val="20"/>
          <w:szCs w:val="20"/>
          <w:bdr w:val="none" w:sz="0" w:space="0" w:color="auto" w:frame="1"/>
        </w:rPr>
        <w:t>, Lutheran Advocacy-MN has not worked on any of these issues. Many of the programs listed below already exist and are getting some funding increases, others have passed either the MN House or Senate previously but did not get full final passage until this year, and some are new. I’m including this detail for the people who keep asking what happened for the climate in various other areas/sectors.</w:t>
      </w:r>
    </w:p>
    <w:p w14:paraId="7F990A48" w14:textId="77777777" w:rsidR="00060B35" w:rsidRPr="00060B35" w:rsidRDefault="00060B35" w:rsidP="00060B35">
      <w:pPr>
        <w:spacing w:after="0" w:line="240" w:lineRule="auto"/>
        <w:jc w:val="both"/>
        <w:rPr>
          <w:rFonts w:ascii="Tahoma" w:eastAsia="Times New Roman" w:hAnsi="Tahoma" w:cs="Tahoma"/>
          <w:color w:val="000000"/>
          <w:sz w:val="14"/>
          <w:szCs w:val="14"/>
        </w:rPr>
      </w:pPr>
    </w:p>
    <w:p w14:paraId="54005209" w14:textId="77777777" w:rsidR="00060B35" w:rsidRPr="00060B35" w:rsidRDefault="00060B35" w:rsidP="00060B35">
      <w:pPr>
        <w:numPr>
          <w:ilvl w:val="0"/>
          <w:numId w:val="8"/>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Agriculture/Land Conservation:</w:t>
      </w:r>
      <w:r w:rsidRPr="00060B35">
        <w:rPr>
          <w:rFonts w:ascii="Tahoma" w:eastAsia="Times New Roman" w:hAnsi="Tahoma" w:cs="Tahoma"/>
          <w:color w:val="000000"/>
          <w:sz w:val="20"/>
          <w:szCs w:val="20"/>
          <w:bdr w:val="none" w:sz="0" w:space="0" w:color="auto" w:frame="1"/>
        </w:rPr>
        <w:t> </w:t>
      </w:r>
      <w:r w:rsidRPr="00060B35">
        <w:rPr>
          <w:rFonts w:ascii="Tahoma" w:eastAsia="Times New Roman" w:hAnsi="Tahoma" w:cs="Tahoma"/>
          <w:b/>
          <w:bCs/>
          <w:i/>
          <w:iCs/>
          <w:color w:val="000000"/>
          <w:sz w:val="20"/>
          <w:szCs w:val="20"/>
          <w:bdr w:val="none" w:sz="0" w:space="0" w:color="auto" w:frame="1"/>
        </w:rPr>
        <w:t>Soil Health Financial Assistance</w:t>
      </w:r>
      <w:r w:rsidRPr="00060B35">
        <w:rPr>
          <w:rFonts w:ascii="Tahoma" w:eastAsia="Times New Roman" w:hAnsi="Tahoma" w:cs="Tahoma"/>
          <w:color w:val="000000"/>
          <w:sz w:val="20"/>
          <w:szCs w:val="20"/>
          <w:bdr w:val="none" w:sz="0" w:space="0" w:color="auto" w:frame="1"/>
        </w:rPr>
        <w:t> Program &amp; Grants, Agriculture Best Practices Loan Program, expansion of </w:t>
      </w:r>
      <w:r w:rsidRPr="00060B35">
        <w:rPr>
          <w:rFonts w:ascii="Tahoma" w:eastAsia="Times New Roman" w:hAnsi="Tahoma" w:cs="Tahoma"/>
          <w:b/>
          <w:bCs/>
          <w:i/>
          <w:iCs/>
          <w:color w:val="000000"/>
          <w:sz w:val="20"/>
          <w:szCs w:val="20"/>
          <w:bdr w:val="none" w:sz="0" w:space="0" w:color="auto" w:frame="1"/>
        </w:rPr>
        <w:t>Cover Crop incentives</w:t>
      </w:r>
      <w:r w:rsidRPr="00060B35">
        <w:rPr>
          <w:rFonts w:ascii="Tahoma" w:eastAsia="Times New Roman" w:hAnsi="Tahoma" w:cs="Tahoma"/>
          <w:color w:val="000000"/>
          <w:sz w:val="20"/>
          <w:szCs w:val="20"/>
          <w:bdr w:val="none" w:sz="0" w:space="0" w:color="auto" w:frame="1"/>
        </w:rPr>
        <w:t> for Landowners, Soil Health Equipment Grants, </w:t>
      </w:r>
      <w:r w:rsidRPr="00060B35">
        <w:rPr>
          <w:rFonts w:ascii="Tahoma" w:eastAsia="Times New Roman" w:hAnsi="Tahoma" w:cs="Tahoma"/>
          <w:b/>
          <w:bCs/>
          <w:i/>
          <w:iCs/>
          <w:color w:val="000000"/>
          <w:sz w:val="20"/>
          <w:szCs w:val="20"/>
          <w:bdr w:val="none" w:sz="0" w:space="0" w:color="auto" w:frame="1"/>
        </w:rPr>
        <w:t>Forever Green Research</w:t>
      </w:r>
      <w:r w:rsidRPr="00060B35">
        <w:rPr>
          <w:rFonts w:ascii="Tahoma" w:eastAsia="Times New Roman" w:hAnsi="Tahoma" w:cs="Tahoma"/>
          <w:color w:val="000000"/>
          <w:sz w:val="20"/>
          <w:szCs w:val="20"/>
          <w:bdr w:val="none" w:sz="0" w:space="0" w:color="auto" w:frame="1"/>
        </w:rPr>
        <w:t xml:space="preserve"> at the University of Minnesota (for things like </w:t>
      </w:r>
      <w:proofErr w:type="spellStart"/>
      <w:r w:rsidRPr="00060B35">
        <w:rPr>
          <w:rFonts w:ascii="Tahoma" w:eastAsia="Times New Roman" w:hAnsi="Tahoma" w:cs="Tahoma"/>
          <w:color w:val="000000"/>
          <w:sz w:val="20"/>
          <w:szCs w:val="20"/>
          <w:bdr w:val="none" w:sz="0" w:space="0" w:color="auto" w:frame="1"/>
        </w:rPr>
        <w:t>Kernza</w:t>
      </w:r>
      <w:proofErr w:type="spellEnd"/>
      <w:r w:rsidRPr="00060B35">
        <w:rPr>
          <w:rFonts w:ascii="Tahoma" w:eastAsia="Times New Roman" w:hAnsi="Tahoma" w:cs="Tahoma"/>
          <w:color w:val="000000"/>
          <w:sz w:val="20"/>
          <w:szCs w:val="20"/>
          <w:bdr w:val="none" w:sz="0" w:space="0" w:color="auto" w:frame="1"/>
        </w:rPr>
        <w:t>, a perennial wheat hybrid), Deep Winter Greenhouse Program, Conservation Reserve Program, Reinvest in Minnesota Program, new funding for Climate-Related Land Conservation, addition of farmlands to PACE Program, Green Fertilizer Production Facilities investment.</w:t>
      </w:r>
    </w:p>
    <w:p w14:paraId="1A2F2F3A" w14:textId="77777777" w:rsidR="00060B35" w:rsidRPr="00060B35" w:rsidRDefault="00060B35" w:rsidP="00060B35">
      <w:pPr>
        <w:spacing w:after="0" w:line="240" w:lineRule="auto"/>
        <w:ind w:left="720"/>
        <w:jc w:val="both"/>
        <w:rPr>
          <w:rFonts w:ascii="Tahoma" w:eastAsia="Times New Roman" w:hAnsi="Tahoma" w:cs="Tahoma"/>
          <w:color w:val="000000"/>
          <w:sz w:val="8"/>
          <w:szCs w:val="8"/>
        </w:rPr>
      </w:pPr>
    </w:p>
    <w:p w14:paraId="2B57F910" w14:textId="155B5D93" w:rsidR="00060B35" w:rsidRPr="00060B35" w:rsidRDefault="00060B35" w:rsidP="00060B35">
      <w:pPr>
        <w:numPr>
          <w:ilvl w:val="0"/>
          <w:numId w:val="8"/>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rPr>
        <w:t>Natural Environment Protection, Enhancement, or Improvement:</w:t>
      </w:r>
      <w:r w:rsidRPr="00060B35">
        <w:rPr>
          <w:rFonts w:ascii="Tahoma" w:eastAsia="Times New Roman" w:hAnsi="Tahoma" w:cs="Tahoma"/>
          <w:color w:val="000000"/>
          <w:sz w:val="20"/>
          <w:szCs w:val="20"/>
          <w:bdr w:val="none" w:sz="0" w:space="0" w:color="auto" w:frame="1"/>
        </w:rPr>
        <w:t> Grasslands Protection Carbon Sequestration, Peatland Protection Carbon Sequestration, </w:t>
      </w:r>
      <w:r w:rsidRPr="00060B35">
        <w:rPr>
          <w:rFonts w:ascii="Tahoma" w:eastAsia="Times New Roman" w:hAnsi="Tahoma" w:cs="Tahoma"/>
          <w:b/>
          <w:bCs/>
          <w:i/>
          <w:iCs/>
          <w:color w:val="000000"/>
          <w:sz w:val="20"/>
          <w:szCs w:val="20"/>
        </w:rPr>
        <w:t>Lawns to Legumes</w:t>
      </w:r>
      <w:r w:rsidRPr="00060B35">
        <w:rPr>
          <w:rFonts w:ascii="Tahoma" w:eastAsia="Times New Roman" w:hAnsi="Tahoma" w:cs="Tahoma"/>
          <w:color w:val="000000"/>
          <w:sz w:val="20"/>
          <w:szCs w:val="20"/>
          <w:bdr w:val="none" w:sz="0" w:space="0" w:color="auto" w:frame="1"/>
        </w:rPr>
        <w:t> Program expansion, Habitat Enhancement Landscape Program, establishment of Habitat Friendly Utilities Program, </w:t>
      </w:r>
      <w:r w:rsidRPr="00060B35">
        <w:rPr>
          <w:rFonts w:ascii="Tahoma" w:eastAsia="Times New Roman" w:hAnsi="Tahoma" w:cs="Tahoma"/>
          <w:b/>
          <w:bCs/>
          <w:i/>
          <w:iCs/>
          <w:color w:val="000000"/>
          <w:sz w:val="20"/>
          <w:szCs w:val="20"/>
        </w:rPr>
        <w:t>Highways for Habitat program</w:t>
      </w:r>
      <w:r w:rsidRPr="00060B35">
        <w:rPr>
          <w:rFonts w:ascii="Tahoma" w:eastAsia="Times New Roman" w:hAnsi="Tahoma" w:cs="Tahoma"/>
          <w:color w:val="000000"/>
          <w:sz w:val="20"/>
          <w:szCs w:val="20"/>
          <w:bdr w:val="none" w:sz="0" w:space="0" w:color="auto" w:frame="1"/>
        </w:rPr>
        <w:t> implementation, Private Forest Landowner Assistance, Community Tree Planting Grants, Planting Tomorrow’s Forests Today program, State Forest Reforestation, Emerald Ash Borer Tree Replacement, ReLeaf Program, Accelerated Tree Seed Collection, Lowland Conifer Reserve Program Study</w:t>
      </w:r>
      <w:r>
        <w:rPr>
          <w:rFonts w:ascii="Tahoma" w:eastAsia="Times New Roman" w:hAnsi="Tahoma" w:cs="Tahoma"/>
          <w:color w:val="000000"/>
          <w:sz w:val="20"/>
          <w:szCs w:val="20"/>
          <w:bdr w:val="none" w:sz="0" w:space="0" w:color="auto" w:frame="1"/>
        </w:rPr>
        <w:t>.</w:t>
      </w:r>
    </w:p>
    <w:p w14:paraId="3DEC10F3" w14:textId="77777777" w:rsidR="00060B35" w:rsidRPr="00060B35" w:rsidRDefault="00060B35" w:rsidP="00060B35">
      <w:pPr>
        <w:spacing w:after="0" w:line="240" w:lineRule="auto"/>
        <w:jc w:val="both"/>
        <w:rPr>
          <w:rFonts w:ascii="Tahoma" w:eastAsia="Times New Roman" w:hAnsi="Tahoma" w:cs="Tahoma"/>
          <w:color w:val="000000"/>
          <w:sz w:val="8"/>
          <w:szCs w:val="8"/>
        </w:rPr>
      </w:pPr>
    </w:p>
    <w:p w14:paraId="68FAB3D3" w14:textId="77777777" w:rsidR="00060B35" w:rsidRPr="00060B35" w:rsidRDefault="00060B35" w:rsidP="00060B35">
      <w:pPr>
        <w:numPr>
          <w:ilvl w:val="0"/>
          <w:numId w:val="8"/>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Climate Action Planning, Adaptation, &amp; Resilience:</w:t>
      </w:r>
      <w:r w:rsidRPr="00060B35">
        <w:rPr>
          <w:rFonts w:ascii="Tahoma" w:eastAsia="Times New Roman" w:hAnsi="Tahoma" w:cs="Tahoma"/>
          <w:color w:val="000000"/>
          <w:sz w:val="20"/>
          <w:szCs w:val="20"/>
          <w:bdr w:val="none" w:sz="0" w:space="0" w:color="auto" w:frame="1"/>
        </w:rPr>
        <w:t xml:space="preserve"> Local Climate Action Planning Grants, Small Communities Partnership Grants, Clean Energy Resource Teams, Creating Resilient Communities grants for local governments, </w:t>
      </w:r>
      <w:proofErr w:type="spellStart"/>
      <w:r w:rsidRPr="00060B35">
        <w:rPr>
          <w:rFonts w:ascii="Tahoma" w:eastAsia="Times New Roman" w:hAnsi="Tahoma" w:cs="Tahoma"/>
          <w:color w:val="000000"/>
          <w:sz w:val="20"/>
          <w:szCs w:val="20"/>
          <w:bdr w:val="none" w:sz="0" w:space="0" w:color="auto" w:frame="1"/>
        </w:rPr>
        <w:t>GreenStep</w:t>
      </w:r>
      <w:proofErr w:type="spellEnd"/>
      <w:r w:rsidRPr="00060B35">
        <w:rPr>
          <w:rFonts w:ascii="Tahoma" w:eastAsia="Times New Roman" w:hAnsi="Tahoma" w:cs="Tahoma"/>
          <w:color w:val="000000"/>
          <w:sz w:val="20"/>
          <w:szCs w:val="20"/>
          <w:bdr w:val="none" w:sz="0" w:space="0" w:color="auto" w:frame="1"/>
        </w:rPr>
        <w:t xml:space="preserve"> Cities, Tribal Advocacy Council on Energy, Climate Pathways Analysis funding for State Decarbonization Planning, creation of Agriculture Department Climate Implementation Coordinator, Health Department Climate &amp; Public Health Program staff funding, Disaster Assistance Contingency Account, additional investments in wildfire aviation infrastructure, flood mitigation, living snow fences, Weather Ready Program expansion at the University of Minnesota, Climate-Related Planning requirement in Metro Area Comprehensive Plans.</w:t>
      </w:r>
    </w:p>
    <w:p w14:paraId="283BAAB4" w14:textId="77777777" w:rsidR="00060B35" w:rsidRPr="00060B35" w:rsidRDefault="00060B35" w:rsidP="00060B35">
      <w:pPr>
        <w:spacing w:after="0" w:line="240" w:lineRule="auto"/>
        <w:jc w:val="both"/>
        <w:rPr>
          <w:rFonts w:ascii="Tahoma" w:eastAsia="Times New Roman" w:hAnsi="Tahoma" w:cs="Tahoma"/>
          <w:color w:val="000000"/>
          <w:sz w:val="8"/>
          <w:szCs w:val="8"/>
        </w:rPr>
      </w:pPr>
    </w:p>
    <w:p w14:paraId="74D19DC2" w14:textId="77777777" w:rsidR="00060B35" w:rsidRPr="00060B35" w:rsidRDefault="00060B35" w:rsidP="00060B35">
      <w:pPr>
        <w:numPr>
          <w:ilvl w:val="0"/>
          <w:numId w:val="8"/>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Workforce Development:</w:t>
      </w:r>
      <w:r w:rsidRPr="00060B35">
        <w:rPr>
          <w:rFonts w:ascii="Tahoma" w:eastAsia="Times New Roman" w:hAnsi="Tahoma" w:cs="Tahoma"/>
          <w:color w:val="000000"/>
          <w:sz w:val="20"/>
          <w:szCs w:val="20"/>
          <w:bdr w:val="none" w:sz="0" w:space="0" w:color="auto" w:frame="1"/>
        </w:rPr>
        <w:t xml:space="preserve"> Growing Clean Economy Apprenticeships, Clean Economy Equitable Workforce program, Environmental Careers Pathway Program, North Minneapolis Rise Up Center, Minnesota </w:t>
      </w:r>
      <w:proofErr w:type="spellStart"/>
      <w:r w:rsidRPr="00060B35">
        <w:rPr>
          <w:rFonts w:ascii="Tahoma" w:eastAsia="Times New Roman" w:hAnsi="Tahoma" w:cs="Tahoma"/>
          <w:color w:val="000000"/>
          <w:sz w:val="20"/>
          <w:szCs w:val="20"/>
          <w:bdr w:val="none" w:sz="0" w:space="0" w:color="auto" w:frame="1"/>
        </w:rPr>
        <w:t>GreenCorp</w:t>
      </w:r>
      <w:proofErr w:type="spellEnd"/>
      <w:r w:rsidRPr="00060B35">
        <w:rPr>
          <w:rFonts w:ascii="Tahoma" w:eastAsia="Times New Roman" w:hAnsi="Tahoma" w:cs="Tahoma"/>
          <w:color w:val="000000"/>
          <w:sz w:val="20"/>
          <w:szCs w:val="20"/>
          <w:bdr w:val="none" w:sz="0" w:space="0" w:color="auto" w:frame="1"/>
        </w:rPr>
        <w:t>, Tribal construction workforce training programs, Expanding Equity in Apprenticeship (LEAP Grants), requiring prevailing wages for clean energy investments, Utility Diversity Reporting Requirements strengthened, Building Strong Communities Program.</w:t>
      </w:r>
    </w:p>
    <w:p w14:paraId="57DFBCE2" w14:textId="77777777" w:rsidR="00060B35" w:rsidRPr="00060B35" w:rsidRDefault="00060B35" w:rsidP="00060B35">
      <w:pPr>
        <w:pStyle w:val="ListParagraph"/>
        <w:spacing w:after="0"/>
        <w:jc w:val="both"/>
        <w:rPr>
          <w:rFonts w:ascii="Tahoma" w:eastAsia="Times New Roman" w:hAnsi="Tahoma" w:cs="Tahoma"/>
          <w:color w:val="000000"/>
          <w:sz w:val="8"/>
          <w:szCs w:val="8"/>
        </w:rPr>
      </w:pPr>
    </w:p>
    <w:p w14:paraId="289E2233" w14:textId="77777777" w:rsidR="00060B35" w:rsidRPr="00060B35" w:rsidRDefault="00060B35" w:rsidP="00060B35">
      <w:pPr>
        <w:numPr>
          <w:ilvl w:val="0"/>
          <w:numId w:val="8"/>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Residential Housing/Commercial Building Climate Resiliency:</w:t>
      </w:r>
      <w:r w:rsidRPr="00060B35">
        <w:rPr>
          <w:rFonts w:ascii="Tahoma" w:eastAsia="Times New Roman" w:hAnsi="Tahoma" w:cs="Tahoma"/>
          <w:color w:val="000000"/>
          <w:sz w:val="20"/>
          <w:szCs w:val="20"/>
          <w:bdr w:val="none" w:sz="0" w:space="0" w:color="auto" w:frame="1"/>
        </w:rPr>
        <w:t> Strengthen Minnesota Homes Program to prepare homes for high wind &amp; hail events, Commercial Building Code updates, establishment of Commercial Building Benchmarking Program, Climate Impacts on Public Buildings Study, addition of Climate Resiliency to Minnesota’s Sustainable Building Guidelines.</w:t>
      </w:r>
    </w:p>
    <w:p w14:paraId="5F228B2D" w14:textId="77777777" w:rsidR="00060B35" w:rsidRPr="00060B35" w:rsidRDefault="00060B35" w:rsidP="00060B35">
      <w:pPr>
        <w:spacing w:after="0" w:line="240" w:lineRule="auto"/>
        <w:ind w:left="720"/>
        <w:jc w:val="both"/>
        <w:rPr>
          <w:rFonts w:ascii="Tahoma" w:eastAsia="Times New Roman" w:hAnsi="Tahoma" w:cs="Tahoma"/>
          <w:color w:val="000000"/>
          <w:sz w:val="8"/>
          <w:szCs w:val="8"/>
        </w:rPr>
      </w:pPr>
    </w:p>
    <w:p w14:paraId="5592C8C8" w14:textId="77777777" w:rsidR="00060B35" w:rsidRPr="00060B35" w:rsidRDefault="00060B35" w:rsidP="00060B35">
      <w:pPr>
        <w:numPr>
          <w:ilvl w:val="0"/>
          <w:numId w:val="8"/>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Air Pollution:</w:t>
      </w:r>
      <w:r w:rsidRPr="00060B35">
        <w:rPr>
          <w:rFonts w:ascii="Tahoma" w:eastAsia="Times New Roman" w:hAnsi="Tahoma" w:cs="Tahoma"/>
          <w:color w:val="000000"/>
          <w:sz w:val="20"/>
          <w:szCs w:val="20"/>
          <w:bdr w:val="none" w:sz="0" w:space="0" w:color="auto" w:frame="1"/>
        </w:rPr>
        <w:t> Community Air Monitoring expansion, Metro Air Toxics Emissions Reporting, Industrial Facility Air Toxics &amp; Criteria Air Emission Reduction Grants, strengthening of air emissions permitting, air compliance equipment investments, establishment of Odor Management Program for Metro facilities, dedication of 40% of large Pollution Control Agency Settlement to community health boards.</w:t>
      </w:r>
    </w:p>
    <w:p w14:paraId="4288D236" w14:textId="77777777" w:rsidR="00060B35" w:rsidRPr="00060B35" w:rsidRDefault="00060B35" w:rsidP="00060B35">
      <w:pPr>
        <w:spacing w:after="0" w:line="240" w:lineRule="auto"/>
        <w:jc w:val="both"/>
        <w:rPr>
          <w:rFonts w:ascii="Tahoma" w:eastAsia="Times New Roman" w:hAnsi="Tahoma" w:cs="Tahoma"/>
          <w:color w:val="000000"/>
          <w:sz w:val="8"/>
          <w:szCs w:val="8"/>
        </w:rPr>
      </w:pPr>
    </w:p>
    <w:p w14:paraId="7B2D7AB7" w14:textId="77777777" w:rsidR="00060B35" w:rsidRPr="00060B35" w:rsidRDefault="00060B35" w:rsidP="00060B35">
      <w:pPr>
        <w:numPr>
          <w:ilvl w:val="0"/>
          <w:numId w:val="8"/>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Waste Reduction:</w:t>
      </w:r>
      <w:r w:rsidRPr="00060B35">
        <w:rPr>
          <w:rFonts w:ascii="Tahoma" w:eastAsia="Times New Roman" w:hAnsi="Tahoma" w:cs="Tahoma"/>
          <w:color w:val="000000"/>
          <w:sz w:val="20"/>
          <w:szCs w:val="20"/>
          <w:bdr w:val="none" w:sz="0" w:space="0" w:color="auto" w:frame="1"/>
        </w:rPr>
        <w:t xml:space="preserve"> Waste Prevention &amp; Reduction Grants/Loans, expansion of local recycling programs, Olmsted County Waste Diversion Improvements, small businesses pollution prevention acceleration, Digital Fair </w:t>
      </w:r>
      <w:r w:rsidRPr="00060B35">
        <w:rPr>
          <w:rFonts w:ascii="Tahoma" w:eastAsia="Times New Roman" w:hAnsi="Tahoma" w:cs="Tahoma"/>
          <w:color w:val="000000"/>
          <w:sz w:val="20"/>
          <w:szCs w:val="20"/>
          <w:bdr w:val="none" w:sz="0" w:space="0" w:color="auto" w:frame="1"/>
        </w:rPr>
        <w:lastRenderedPageBreak/>
        <w:t>Repair Consumer Protections (more repairs, less waste of electronics), Biodegradable &amp; Compostable Product Labeling Standards, Statewide Zero Waste Study, Solar Energy Equipment End of Life Management Study.</w:t>
      </w:r>
    </w:p>
    <w:p w14:paraId="086AF2D6" w14:textId="77777777" w:rsidR="00060B35" w:rsidRPr="00060B35" w:rsidRDefault="00060B35" w:rsidP="00060B35">
      <w:pPr>
        <w:spacing w:after="0" w:line="240" w:lineRule="auto"/>
        <w:jc w:val="both"/>
        <w:rPr>
          <w:rFonts w:ascii="Tahoma" w:eastAsia="Times New Roman" w:hAnsi="Tahoma" w:cs="Tahoma"/>
          <w:color w:val="000000"/>
          <w:sz w:val="8"/>
          <w:szCs w:val="8"/>
        </w:rPr>
      </w:pPr>
    </w:p>
    <w:p w14:paraId="1AC9CB6C" w14:textId="77777777" w:rsidR="00060B35" w:rsidRPr="00060B35" w:rsidRDefault="00060B35" w:rsidP="00060B35">
      <w:pPr>
        <w:numPr>
          <w:ilvl w:val="0"/>
          <w:numId w:val="8"/>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Transportation:</w:t>
      </w:r>
      <w:r w:rsidRPr="00060B35">
        <w:rPr>
          <w:rFonts w:ascii="Tahoma" w:eastAsia="Times New Roman" w:hAnsi="Tahoma" w:cs="Tahoma"/>
          <w:color w:val="000000"/>
          <w:sz w:val="20"/>
          <w:szCs w:val="20"/>
          <w:bdr w:val="none" w:sz="0" w:space="0" w:color="auto" w:frame="1"/>
        </w:rPr>
        <w:t xml:space="preserve"> dedicated Metro Transit Funding, expansion of Metro Area Transit bonding authority, Northern Lights Express Passenger Train, Greater Minnesota transit investments, Bus Rapid Transit expansion, Blue Line Train extension, Passenger Rail to Chicago increase, Highway 169 Bus Rapid Transit, Intercity Passenger Rail Planning requirement, </w:t>
      </w:r>
      <w:proofErr w:type="spellStart"/>
      <w:r w:rsidRPr="00060B35">
        <w:rPr>
          <w:rFonts w:ascii="Tahoma" w:eastAsia="Times New Roman" w:hAnsi="Tahoma" w:cs="Tahoma"/>
          <w:color w:val="000000"/>
          <w:sz w:val="20"/>
          <w:szCs w:val="20"/>
          <w:bdr w:val="none" w:sz="0" w:space="0" w:color="auto" w:frame="1"/>
        </w:rPr>
        <w:t>Northstar</w:t>
      </w:r>
      <w:proofErr w:type="spellEnd"/>
      <w:r w:rsidRPr="00060B35">
        <w:rPr>
          <w:rFonts w:ascii="Tahoma" w:eastAsia="Times New Roman" w:hAnsi="Tahoma" w:cs="Tahoma"/>
          <w:color w:val="000000"/>
          <w:sz w:val="20"/>
          <w:szCs w:val="20"/>
          <w:bdr w:val="none" w:sz="0" w:space="0" w:color="auto" w:frame="1"/>
        </w:rPr>
        <w:t xml:space="preserve"> Commuter Rail Study, Transit Fair Elimination Pilot Program, Utility Transportation Electrification Planning requirement, bringing of National EV Infrastructure(NEVI) Program to Minnesota, Electric School Bus Program, electric vehicle incentives, state vehicle fleets Preference for EVs, EV Dealer Training requirement &amp; funding, requirement of MNDOT to set Greenhouse Gas (GHG) Reduction Targets, GHG Emissions Impact Mitigation Working Group creation, MSP Airport Progress Reports regarding 80% GHG reductions by 2030 goal, Clean Fuel Standard Working Group, Train Derailment Emergency Response Preparedness, Sustainable Aviation Fuel Credit funding.</w:t>
      </w:r>
    </w:p>
    <w:p w14:paraId="1B6C7329" w14:textId="77777777" w:rsidR="00060B35" w:rsidRPr="00060B35" w:rsidRDefault="00060B35" w:rsidP="00060B35">
      <w:pPr>
        <w:spacing w:after="0" w:line="240" w:lineRule="auto"/>
        <w:jc w:val="both"/>
        <w:rPr>
          <w:rFonts w:ascii="Tahoma" w:eastAsia="Times New Roman" w:hAnsi="Tahoma" w:cs="Tahoma"/>
          <w:color w:val="000000"/>
          <w:sz w:val="8"/>
          <w:szCs w:val="8"/>
        </w:rPr>
      </w:pPr>
    </w:p>
    <w:p w14:paraId="1D39E387" w14:textId="4CAF070D" w:rsidR="00060B35" w:rsidRPr="00060B35" w:rsidRDefault="00060B35" w:rsidP="00060B35">
      <w:pPr>
        <w:numPr>
          <w:ilvl w:val="0"/>
          <w:numId w:val="8"/>
        </w:numPr>
        <w:spacing w:after="0" w:line="240" w:lineRule="auto"/>
        <w:jc w:val="both"/>
        <w:rPr>
          <w:rFonts w:ascii="Tahoma" w:eastAsia="Times New Roman" w:hAnsi="Tahoma" w:cs="Tahoma"/>
          <w:color w:val="000000"/>
          <w:sz w:val="20"/>
          <w:szCs w:val="20"/>
        </w:rPr>
      </w:pPr>
      <w:r w:rsidRPr="00060B35">
        <w:rPr>
          <w:rFonts w:ascii="Tahoma" w:eastAsia="Times New Roman" w:hAnsi="Tahoma" w:cs="Tahoma"/>
          <w:b/>
          <w:bCs/>
          <w:color w:val="000000"/>
          <w:sz w:val="20"/>
          <w:szCs w:val="20"/>
          <w:bdr w:val="none" w:sz="0" w:space="0" w:color="auto" w:frame="1"/>
        </w:rPr>
        <w:t>Bonding &amp; Cash Infrastructure:</w:t>
      </w:r>
      <w:r w:rsidRPr="00060B35">
        <w:rPr>
          <w:rFonts w:ascii="Tahoma" w:eastAsia="Times New Roman" w:hAnsi="Tahoma" w:cs="Tahoma"/>
          <w:color w:val="000000"/>
          <w:sz w:val="20"/>
          <w:szCs w:val="20"/>
          <w:bdr w:val="none" w:sz="0" w:space="0" w:color="auto" w:frame="1"/>
        </w:rPr>
        <w:t xml:space="preserve"> There were </w:t>
      </w:r>
      <w:proofErr w:type="gramStart"/>
      <w:r w:rsidRPr="00060B35">
        <w:rPr>
          <w:rFonts w:ascii="Tahoma" w:eastAsia="Times New Roman" w:hAnsi="Tahoma" w:cs="Tahoma"/>
          <w:color w:val="000000"/>
          <w:sz w:val="20"/>
          <w:szCs w:val="20"/>
          <w:bdr w:val="none" w:sz="0" w:space="0" w:color="auto" w:frame="1"/>
        </w:rPr>
        <w:t>a number of</w:t>
      </w:r>
      <w:proofErr w:type="gramEnd"/>
      <w:r w:rsidRPr="00060B35">
        <w:rPr>
          <w:rFonts w:ascii="Tahoma" w:eastAsia="Times New Roman" w:hAnsi="Tahoma" w:cs="Tahoma"/>
          <w:color w:val="000000"/>
          <w:sz w:val="20"/>
          <w:szCs w:val="20"/>
          <w:bdr w:val="none" w:sz="0" w:space="0" w:color="auto" w:frame="1"/>
        </w:rPr>
        <w:t xml:space="preserve"> climate related infrastructure projects in the bills that were negotiated on the last day. I recall from earlier in the session that </w:t>
      </w:r>
      <w:proofErr w:type="gramStart"/>
      <w:r w:rsidRPr="00060B35">
        <w:rPr>
          <w:rFonts w:ascii="Tahoma" w:eastAsia="Times New Roman" w:hAnsi="Tahoma" w:cs="Tahoma"/>
          <w:color w:val="000000"/>
          <w:sz w:val="20"/>
          <w:szCs w:val="20"/>
          <w:bdr w:val="none" w:sz="0" w:space="0" w:color="auto" w:frame="1"/>
        </w:rPr>
        <w:t>a number of</w:t>
      </w:r>
      <w:proofErr w:type="gramEnd"/>
      <w:r w:rsidRPr="00060B35">
        <w:rPr>
          <w:rFonts w:ascii="Tahoma" w:eastAsia="Times New Roman" w:hAnsi="Tahoma" w:cs="Tahoma"/>
          <w:color w:val="000000"/>
          <w:sz w:val="20"/>
          <w:szCs w:val="20"/>
          <w:bdr w:val="none" w:sz="0" w:space="0" w:color="auto" w:frame="1"/>
        </w:rPr>
        <w:t xml:space="preserve"> communities were asking for bonds to help in updating or rebuilding storm systems to manage the deluges we now get from extreme rain events. Maybe someday I’ll get the chance to go through the bills carefully.</w:t>
      </w:r>
    </w:p>
    <w:sectPr w:rsidR="00060B35" w:rsidRPr="00060B35" w:rsidSect="00060B35">
      <w:footerReference w:type="default" r:id="rId9"/>
      <w:pgSz w:w="12240" w:h="15840"/>
      <w:pgMar w:top="720" w:right="1008"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CDA5" w14:textId="77777777" w:rsidR="00E32B83" w:rsidRDefault="00E32B83" w:rsidP="00060B35">
      <w:pPr>
        <w:spacing w:after="0" w:line="240" w:lineRule="auto"/>
      </w:pPr>
      <w:r>
        <w:separator/>
      </w:r>
    </w:p>
  </w:endnote>
  <w:endnote w:type="continuationSeparator" w:id="0">
    <w:p w14:paraId="7355F69F" w14:textId="77777777" w:rsidR="00E32B83" w:rsidRDefault="00E32B83" w:rsidP="0006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ve Script Bold Pro">
    <w:charset w:val="00"/>
    <w:family w:val="auto"/>
    <w:pitch w:val="variable"/>
    <w:sig w:usb0="8000002F" w:usb1="5000004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028A" w14:textId="7A58CBB5" w:rsidR="00060B35" w:rsidRPr="00060B35" w:rsidRDefault="00060B35" w:rsidP="00060B35">
    <w:pPr>
      <w:spacing w:after="0"/>
      <w:jc w:val="center"/>
      <w:rPr>
        <w:b/>
        <w:bCs/>
        <w:sz w:val="14"/>
        <w:szCs w:val="14"/>
      </w:rPr>
    </w:pPr>
    <w:r>
      <w:rPr>
        <w:b/>
        <w:bCs/>
        <w:sz w:val="14"/>
        <w:szCs w:val="14"/>
      </w:rPr>
      <w:t>------------------------------------------------------------------------------------------------------------------------------------------------------------------------------------------------------------------------------------</w:t>
    </w:r>
  </w:p>
  <w:p w14:paraId="5811D6CB" w14:textId="6D1A47F8" w:rsidR="00060B35" w:rsidRPr="00CF1F25" w:rsidRDefault="00060B35" w:rsidP="00060B35">
    <w:pPr>
      <w:spacing w:after="0"/>
      <w:jc w:val="center"/>
      <w:rPr>
        <w:b/>
        <w:bCs/>
        <w:sz w:val="20"/>
        <w:szCs w:val="20"/>
      </w:rPr>
    </w:pPr>
    <w:r w:rsidRPr="00CF1F25">
      <w:rPr>
        <w:b/>
        <w:bCs/>
        <w:sz w:val="20"/>
        <w:szCs w:val="20"/>
      </w:rPr>
      <w:t xml:space="preserve">Lutheran Advocacy – Minnesota, ELCA / 105 University Ave. W, St. Paul, MN 55103 / </w:t>
    </w:r>
    <w:hyperlink r:id="rId1" w:history="1">
      <w:r w:rsidRPr="00074BB2">
        <w:rPr>
          <w:rStyle w:val="Hyperlink"/>
          <w:b/>
          <w:bCs/>
          <w:sz w:val="20"/>
          <w:szCs w:val="20"/>
        </w:rPr>
        <w:t>www.lutheranadvocacymn.org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DC02E" w14:textId="77777777" w:rsidR="00E32B83" w:rsidRDefault="00E32B83" w:rsidP="00060B35">
      <w:pPr>
        <w:spacing w:after="0" w:line="240" w:lineRule="auto"/>
      </w:pPr>
      <w:r>
        <w:separator/>
      </w:r>
    </w:p>
  </w:footnote>
  <w:footnote w:type="continuationSeparator" w:id="0">
    <w:p w14:paraId="4C9C3F82" w14:textId="77777777" w:rsidR="00E32B83" w:rsidRDefault="00E32B83" w:rsidP="00060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56E"/>
    <w:multiLevelType w:val="multilevel"/>
    <w:tmpl w:val="6C18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50276"/>
    <w:multiLevelType w:val="multilevel"/>
    <w:tmpl w:val="3A46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A7ABF"/>
    <w:multiLevelType w:val="multilevel"/>
    <w:tmpl w:val="9A58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B7E39"/>
    <w:multiLevelType w:val="multilevel"/>
    <w:tmpl w:val="66DE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807CB"/>
    <w:multiLevelType w:val="multilevel"/>
    <w:tmpl w:val="484A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0966B5"/>
    <w:multiLevelType w:val="multilevel"/>
    <w:tmpl w:val="ED4C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881AFE"/>
    <w:multiLevelType w:val="multilevel"/>
    <w:tmpl w:val="5F66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5D6901"/>
    <w:multiLevelType w:val="multilevel"/>
    <w:tmpl w:val="54C2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8605604">
    <w:abstractNumId w:val="4"/>
  </w:num>
  <w:num w:numId="2" w16cid:durableId="1033002206">
    <w:abstractNumId w:val="1"/>
  </w:num>
  <w:num w:numId="3" w16cid:durableId="2063862206">
    <w:abstractNumId w:val="3"/>
  </w:num>
  <w:num w:numId="4" w16cid:durableId="1839423824">
    <w:abstractNumId w:val="7"/>
  </w:num>
  <w:num w:numId="5" w16cid:durableId="144054891">
    <w:abstractNumId w:val="6"/>
  </w:num>
  <w:num w:numId="6" w16cid:durableId="929854025">
    <w:abstractNumId w:val="2"/>
  </w:num>
  <w:num w:numId="7" w16cid:durableId="598829436">
    <w:abstractNumId w:val="0"/>
  </w:num>
  <w:num w:numId="8" w16cid:durableId="255525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35"/>
    <w:rsid w:val="00060B35"/>
    <w:rsid w:val="006A5975"/>
    <w:rsid w:val="008076AF"/>
    <w:rsid w:val="00A25D2D"/>
    <w:rsid w:val="00C9550A"/>
    <w:rsid w:val="00DA7452"/>
    <w:rsid w:val="00E3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F0229"/>
  <w15:chartTrackingRefBased/>
  <w15:docId w15:val="{48F21EE6-1400-4777-8D0C-A21051DD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B35"/>
    <w:pPr>
      <w:ind w:left="720"/>
      <w:contextualSpacing/>
    </w:pPr>
  </w:style>
  <w:style w:type="paragraph" w:styleId="Header">
    <w:name w:val="header"/>
    <w:basedOn w:val="Normal"/>
    <w:link w:val="HeaderChar"/>
    <w:uiPriority w:val="99"/>
    <w:unhideWhenUsed/>
    <w:rsid w:val="00060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B35"/>
  </w:style>
  <w:style w:type="paragraph" w:styleId="Footer">
    <w:name w:val="footer"/>
    <w:basedOn w:val="Normal"/>
    <w:link w:val="FooterChar"/>
    <w:uiPriority w:val="99"/>
    <w:unhideWhenUsed/>
    <w:rsid w:val="00060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B35"/>
  </w:style>
  <w:style w:type="character" w:styleId="Hyperlink">
    <w:name w:val="Hyperlink"/>
    <w:basedOn w:val="DefaultParagraphFont"/>
    <w:uiPriority w:val="99"/>
    <w:unhideWhenUsed/>
    <w:rsid w:val="00060B35"/>
    <w:rPr>
      <w:color w:val="0563C1" w:themeColor="hyperlink"/>
      <w:u w:val="single"/>
    </w:rPr>
  </w:style>
  <w:style w:type="character" w:styleId="UnresolvedMention">
    <w:name w:val="Unresolved Mention"/>
    <w:basedOn w:val="DefaultParagraphFont"/>
    <w:uiPriority w:val="99"/>
    <w:semiHidden/>
    <w:unhideWhenUsed/>
    <w:rsid w:val="0006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141199">
      <w:bodyDiv w:val="1"/>
      <w:marLeft w:val="0"/>
      <w:marRight w:val="0"/>
      <w:marTop w:val="0"/>
      <w:marBottom w:val="0"/>
      <w:divBdr>
        <w:top w:val="none" w:sz="0" w:space="0" w:color="auto"/>
        <w:left w:val="none" w:sz="0" w:space="0" w:color="auto"/>
        <w:bottom w:val="none" w:sz="0" w:space="0" w:color="auto"/>
        <w:right w:val="none" w:sz="0" w:space="0" w:color="auto"/>
      </w:divBdr>
      <w:divsChild>
        <w:div w:id="712198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elca.org/site/R?i=18IXuK-kUFTPCfSi79ICq8e15f9KJyhx-xcy1stZ4O41KpM1YjwEY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utheranadvocacy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2595</Words>
  <Characters>15628</Characters>
  <Application>Microsoft Office Word</Application>
  <DocSecurity>0</DocSecurity>
  <Lines>240</Lines>
  <Paragraphs>82</Paragraphs>
  <ScaleCrop>false</ScaleCrop>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Walhof</dc:creator>
  <cp:keywords/>
  <dc:description/>
  <cp:lastModifiedBy>Tammy Walhof</cp:lastModifiedBy>
  <cp:revision>2</cp:revision>
  <dcterms:created xsi:type="dcterms:W3CDTF">2023-06-08T20:40:00Z</dcterms:created>
  <dcterms:modified xsi:type="dcterms:W3CDTF">2023-06-08T20:40:00Z</dcterms:modified>
</cp:coreProperties>
</file>